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media/image1.png" ContentType="image/png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>DOKUMENTACE PRO PROV</w:t>
      </w:r>
      <w:r>
        <w:rPr>
          <w:rFonts w:cs="Arial"/>
          <w:b/>
          <w:sz w:val="26"/>
          <w:szCs w:val="26"/>
        </w:rPr>
        <w:t>ÁDĚNÍ</w:t>
      </w:r>
      <w:r>
        <w:rPr>
          <w:rFonts w:cs="Arial"/>
          <w:b/>
          <w:sz w:val="26"/>
          <w:szCs w:val="26"/>
        </w:rPr>
        <w:t xml:space="preserve"> STAVBY</w:t>
      </w:r>
    </w:p>
    <w:p>
      <w:pPr>
        <w:pStyle w:val="Normal"/>
        <w:spacing w:before="120" w:after="0"/>
        <w:jc w:val="center"/>
        <w:rPr/>
      </w:pPr>
      <w:r>
        <w:rPr>
          <w:rFonts w:cs="Arial" w:ascii="Arial" w:hAnsi="Arial"/>
          <w:b w:val="false"/>
          <w:bCs w:val="false"/>
          <w:sz w:val="20"/>
          <w:szCs w:val="16"/>
        </w:rPr>
        <w:t xml:space="preserve">  </w:t>
      </w:r>
      <w:r>
        <w:rPr>
          <w:rFonts w:cs="Arial" w:ascii="Arial" w:hAnsi="Arial"/>
          <w:b w:val="false"/>
          <w:bCs w:val="false"/>
          <w:sz w:val="20"/>
          <w:szCs w:val="20"/>
        </w:rPr>
        <w:t xml:space="preserve">(ve smyslu vyhlášky o dokumentaci staveb č. 131/2024 Sb. v platném znění z 28.5. 2024, s účinností od 1.7.2024 </w:t>
      </w:r>
      <w:r>
        <w:rPr>
          <w:rFonts w:cs="Arial" w:ascii="Arial;Verdana;Tahoma;sans-serif" w:hAnsi="Arial;Verdana;Tahoma;sans-serif"/>
          <w:b w:val="false"/>
          <w:bCs w:val="false"/>
          <w:i w:val="false"/>
          <w:caps w:val="false"/>
          <w:smallCaps w:val="false"/>
          <w:color w:val="000000"/>
          <w:spacing w:val="0"/>
          <w:sz w:val="20"/>
          <w:szCs w:val="20"/>
        </w:rPr>
        <w:t xml:space="preserve"> v příloze č. 8</w:t>
      </w:r>
      <w:r>
        <w:rPr>
          <w:rFonts w:cs="Arial" w:ascii="Arial" w:hAnsi="Arial"/>
          <w:b w:val="false"/>
          <w:bCs w:val="false"/>
          <w:sz w:val="20"/>
          <w:szCs w:val="20"/>
        </w:rPr>
        <w:t>)</w:t>
      </w:r>
    </w:p>
    <w:p>
      <w:pPr>
        <w:pStyle w:val="Normal"/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</w:r>
    </w:p>
    <w:tbl>
      <w:tblPr>
        <w:tblW w:w="10008" w:type="dxa"/>
        <w:jc w:val="start"/>
        <w:tblInd w:w="-108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1907"/>
        <w:gridCol w:w="8101"/>
      </w:tblGrid>
      <w:tr>
        <w:trPr/>
        <w:tc>
          <w:tcPr>
            <w:tcW w:w="1907" w:type="dxa"/>
            <w:tcBorders/>
          </w:tcPr>
          <w:p>
            <w:pPr>
              <w:pStyle w:val="Normal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8101" w:type="dxa"/>
            <w:tcBorders/>
          </w:tcPr>
          <w:p>
            <w:pPr>
              <w:pStyle w:val="Normal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Dokumentace objektů a technických a technologických zařízení</w:t>
            </w:r>
          </w:p>
        </w:tc>
      </w:tr>
      <w:tr>
        <w:trPr/>
        <w:tc>
          <w:tcPr>
            <w:tcW w:w="1907" w:type="dxa"/>
            <w:tcBorders/>
          </w:tcPr>
          <w:p>
            <w:pPr>
              <w:pStyle w:val="Normal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D.1</w:t>
            </w:r>
          </w:p>
        </w:tc>
        <w:tc>
          <w:tcPr>
            <w:tcW w:w="8101" w:type="dxa"/>
            <w:tcBorders/>
          </w:tcPr>
          <w:p>
            <w:pPr>
              <w:pStyle w:val="Normal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Dokumentace stavebního nebo inženýrského objektu</w:t>
            </w:r>
          </w:p>
        </w:tc>
      </w:tr>
      <w:tr>
        <w:trPr/>
        <w:tc>
          <w:tcPr>
            <w:tcW w:w="1907" w:type="dxa"/>
            <w:tcBorders/>
          </w:tcPr>
          <w:p>
            <w:pPr>
              <w:pStyle w:val="Normal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D.1.</w:t>
            </w: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8101" w:type="dxa"/>
            <w:tcBorders/>
          </w:tcPr>
          <w:p>
            <w:pPr>
              <w:pStyle w:val="Normal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Technika prostředí staveb</w:t>
            </w:r>
          </w:p>
        </w:tc>
      </w:tr>
      <w:tr>
        <w:trPr/>
        <w:tc>
          <w:tcPr>
            <w:tcW w:w="1907" w:type="dxa"/>
            <w:tcBorders/>
          </w:tcPr>
          <w:p>
            <w:pPr>
              <w:pStyle w:val="Normal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D.1.</w:t>
            </w:r>
            <w:r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>8</w:t>
            </w:r>
          </w:p>
        </w:tc>
        <w:tc>
          <w:tcPr>
            <w:tcW w:w="8101" w:type="dxa"/>
            <w:tcBorders/>
          </w:tcPr>
          <w:p>
            <w:pPr>
              <w:pStyle w:val="Heading4"/>
              <w:rPr/>
            </w:pPr>
            <w:r>
              <w:rPr/>
              <w:t>Měření a regulace</w:t>
            </w:r>
          </w:p>
        </w:tc>
      </w:tr>
      <w:tr>
        <w:trPr>
          <w:trHeight w:val="330" w:hRule="atLeast"/>
        </w:trPr>
        <w:tc>
          <w:tcPr>
            <w:tcW w:w="1907" w:type="dxa"/>
            <w:tcBorders/>
          </w:tcPr>
          <w:p>
            <w:pPr>
              <w:pStyle w:val="Normal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MaR-01</w:t>
            </w:r>
          </w:p>
        </w:tc>
        <w:tc>
          <w:tcPr>
            <w:tcW w:w="8101" w:type="dxa"/>
            <w:tcBorders/>
          </w:tcPr>
          <w:p>
            <w:pPr>
              <w:pStyle w:val="Normal"/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Technická zpráva</w:t>
            </w:r>
          </w:p>
        </w:tc>
      </w:tr>
    </w:tbl>
    <w:p>
      <w:pPr>
        <w:pStyle w:val="Normal"/>
        <w:jc w:val="both"/>
        <w:rPr>
          <w:b/>
        </w:rPr>
      </w:pPr>
      <w:r>
        <w:rPr>
          <w:b/>
        </w:rPr>
      </w:r>
    </w:p>
    <w:p>
      <w:pPr>
        <w:pStyle w:val="Normal"/>
        <w:spacing w:before="0" w:after="170"/>
        <w:jc w:val="both"/>
        <w:rPr>
          <w:b/>
          <w:sz w:val="24"/>
        </w:rPr>
      </w:pPr>
      <w:r>
        <w:rPr>
          <w:b/>
          <w:sz w:val="24"/>
        </w:rPr>
        <w:t>Obsah: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widowControl/>
            <w:tabs>
              <w:tab w:val="clear" w:pos="540"/>
              <w:tab w:val="clear" w:pos="567"/>
              <w:tab w:val="clear" w:pos="9060"/>
              <w:tab w:val="right" w:pos="9899" w:leader="dot"/>
            </w:tabs>
            <w:suppressAutoHyphens w:val="false"/>
            <w:overflowPunct w:val="false"/>
            <w:bidi w:val="0"/>
            <w:spacing w:before="0" w:after="0"/>
            <w:ind w:hanging="567" w:start="567" w:end="340"/>
            <w:jc w:val="start"/>
            <w:rPr/>
          </w:pPr>
          <w:r>
            <w:fldChar w:fldCharType="begin"/>
          </w:r>
          <w:r>
            <w:rPr>
              <w:rStyle w:val="Odkaznarejstk"/>
            </w:rPr>
            <w:instrText xml:space="preserve"> TOC \o "1-3" \h</w:instrText>
          </w:r>
          <w:r>
            <w:rPr>
              <w:rStyle w:val="Odkaznarejstk"/>
            </w:rPr>
            <w:fldChar w:fldCharType="separate"/>
          </w:r>
          <w:hyperlink w:anchor="__RefHeading___Toc446495695" w:tooltip="výpis použitých norem - normových hodnot a předpisů">
            <w:r>
              <w:rPr>
                <w:rStyle w:val="Odkaznarejstk"/>
              </w:rPr>
              <w:t>1) výpis použitých norem - normových hodnot a předpisů</w:t>
              <w:tab/>
              <w:t>1</w:t>
            </w:r>
          </w:hyperlink>
        </w:p>
        <w:p>
          <w:pPr>
            <w:pStyle w:val="TOC1"/>
            <w:widowControl/>
            <w:tabs>
              <w:tab w:val="clear" w:pos="540"/>
              <w:tab w:val="clear" w:pos="567"/>
              <w:tab w:val="clear" w:pos="9060"/>
              <w:tab w:val="right" w:pos="9899" w:leader="dot"/>
            </w:tabs>
            <w:suppressAutoHyphens w:val="false"/>
            <w:overflowPunct w:val="false"/>
            <w:bidi w:val="0"/>
            <w:spacing w:before="0" w:after="0"/>
            <w:ind w:hanging="567" w:start="567" w:end="340"/>
            <w:jc w:val="start"/>
            <w:rPr/>
          </w:pPr>
          <w:hyperlink w:anchor="__RefHeading___Toc446495696" w:tooltip="výchozí podklady a stavební program">
            <w:r>
              <w:rPr>
                <w:rStyle w:val="Odkaznarejstk"/>
              </w:rPr>
              <w:t>2) výchozí podklady a stavební program</w:t>
              <w:tab/>
              <w:t>2</w:t>
            </w:r>
          </w:hyperlink>
        </w:p>
        <w:p>
          <w:pPr>
            <w:pStyle w:val="TOC1"/>
            <w:widowControl/>
            <w:tabs>
              <w:tab w:val="clear" w:pos="540"/>
              <w:tab w:val="clear" w:pos="567"/>
              <w:tab w:val="clear" w:pos="9060"/>
              <w:tab w:val="right" w:pos="9899" w:leader="dot"/>
            </w:tabs>
            <w:suppressAutoHyphens w:val="false"/>
            <w:overflowPunct w:val="false"/>
            <w:bidi w:val="0"/>
            <w:spacing w:before="0" w:after="0"/>
            <w:ind w:hanging="567" w:start="567" w:end="340"/>
            <w:jc w:val="start"/>
            <w:rPr/>
          </w:pPr>
          <w:hyperlink w:anchor="__RefHeading___Toc18_1102803605" w:tooltip="požadavky na profesi - zadání, klimatické podmínky místa stavby - výpočtové parametry">
            <w:r>
              <w:rPr>
                <w:rStyle w:val="Odkaznarejstk"/>
              </w:rPr>
              <w:t>3) požadavky na profesi - zadání, klimatické podmínky místa stavby - výpočtové parametry</w:t>
              <w:tab/>
              <w:t>2</w:t>
            </w:r>
          </w:hyperlink>
        </w:p>
        <w:p>
          <w:pPr>
            <w:pStyle w:val="TOC1"/>
            <w:widowControl/>
            <w:tabs>
              <w:tab w:val="clear" w:pos="540"/>
              <w:tab w:val="clear" w:pos="567"/>
              <w:tab w:val="clear" w:pos="9060"/>
              <w:tab w:val="right" w:pos="9899" w:leader="dot"/>
            </w:tabs>
            <w:suppressAutoHyphens w:val="false"/>
            <w:overflowPunct w:val="false"/>
            <w:bidi w:val="0"/>
            <w:spacing w:before="0" w:after="0"/>
            <w:ind w:hanging="567" w:start="567" w:end="340"/>
            <w:jc w:val="start"/>
            <w:rPr/>
          </w:pPr>
          <w:hyperlink w:anchor="__RefHeading___Toc20_1102803605" w:tooltip="podmínky připojení na místní technickou infrastrukturu">
            <w:r>
              <w:rPr>
                <w:rStyle w:val="Odkaznarejstk"/>
              </w:rPr>
              <w:t>4) podmínky připojení na místní technickou infrastrukturu</w:t>
              <w:tab/>
              <w:t>3</w:t>
            </w:r>
          </w:hyperlink>
        </w:p>
        <w:p>
          <w:pPr>
            <w:pStyle w:val="TOC1"/>
            <w:widowControl/>
            <w:tabs>
              <w:tab w:val="clear" w:pos="540"/>
              <w:tab w:val="clear" w:pos="567"/>
              <w:tab w:val="clear" w:pos="9060"/>
              <w:tab w:val="right" w:pos="9899" w:leader="dot"/>
            </w:tabs>
            <w:suppressAutoHyphens w:val="false"/>
            <w:overflowPunct w:val="false"/>
            <w:bidi w:val="0"/>
            <w:spacing w:before="0" w:after="0"/>
            <w:ind w:hanging="567" w:start="567" w:end="340"/>
            <w:jc w:val="start"/>
            <w:rPr/>
          </w:pPr>
          <w:hyperlink w:anchor="__RefHeading___Toc446495700" w:tooltip="údaje o škodlivinách se stanovením emisí a jejich koncentrace">
            <w:r>
              <w:rPr>
                <w:rStyle w:val="Odkaznarejstk"/>
              </w:rPr>
              <w:t>5) údaje o škodlivinách se stanovením emisí a jejich koncentrace</w:t>
              <w:tab/>
              <w:t>4</w:t>
            </w:r>
          </w:hyperlink>
        </w:p>
        <w:p>
          <w:pPr>
            <w:pStyle w:val="TOC1"/>
            <w:widowControl/>
            <w:tabs>
              <w:tab w:val="clear" w:pos="540"/>
              <w:tab w:val="clear" w:pos="567"/>
              <w:tab w:val="clear" w:pos="9060"/>
              <w:tab w:val="right" w:pos="9899" w:leader="dot"/>
            </w:tabs>
            <w:suppressAutoHyphens w:val="false"/>
            <w:overflowPunct w:val="false"/>
            <w:bidi w:val="0"/>
            <w:spacing w:before="0" w:after="0"/>
            <w:ind w:hanging="227" w:start="227" w:end="340"/>
            <w:jc w:val="start"/>
            <w:rPr/>
          </w:pPr>
          <w:hyperlink w:anchor="__RefHeading___Toc446495701" w:tooltip="provozní podmínky - počet osob, tepelné ztráty, tepelné zátěže apod., provozní režim - trvalý, občasný, nepřerušovaný">
            <w:r>
              <w:rPr>
                <w:rStyle w:val="Odkaznarejstk"/>
              </w:rPr>
              <w:t>6) provozní podmínky - počet osob, tepelné ztráty, tepelné zátěže apod., provozní režim - trvalý,                             občasný, nepřerušovaný</w:t>
              <w:tab/>
              <w:t>4</w:t>
            </w:r>
          </w:hyperlink>
        </w:p>
        <w:p>
          <w:pPr>
            <w:pStyle w:val="TOC1"/>
            <w:widowControl/>
            <w:tabs>
              <w:tab w:val="clear" w:pos="540"/>
              <w:tab w:val="clear" w:pos="567"/>
              <w:tab w:val="clear" w:pos="9060"/>
              <w:tab w:val="right" w:pos="9899" w:leader="dot"/>
            </w:tabs>
            <w:suppressAutoHyphens w:val="false"/>
            <w:overflowPunct w:val="false"/>
            <w:bidi w:val="0"/>
            <w:spacing w:before="0" w:after="0"/>
            <w:ind w:hanging="567" w:start="567" w:end="340"/>
            <w:jc w:val="start"/>
            <w:rPr/>
          </w:pPr>
          <w:hyperlink w:anchor="__RefHeading___Toc22_1102803605" w:tooltip="popis navrženého řešení a dimenzování, popis funkce, uspořádání instalace a systému">
            <w:r>
              <w:rPr>
                <w:rStyle w:val="Odkaznarejstk"/>
              </w:rPr>
              <w:t>7) popis navrženého řešení a dimenzování, popis funkce, uspořádání instalace a systému</w:t>
              <w:tab/>
              <w:t>5</w:t>
            </w:r>
          </w:hyperlink>
        </w:p>
        <w:p>
          <w:pPr>
            <w:pStyle w:val="TOC1"/>
            <w:widowControl/>
            <w:tabs>
              <w:tab w:val="clear" w:pos="540"/>
              <w:tab w:val="clear" w:pos="567"/>
              <w:tab w:val="clear" w:pos="9060"/>
              <w:tab w:val="right" w:pos="9899" w:leader="dot"/>
            </w:tabs>
            <w:suppressAutoHyphens w:val="false"/>
            <w:overflowPunct w:val="false"/>
            <w:bidi w:val="0"/>
            <w:spacing w:before="0" w:after="0"/>
            <w:ind w:hanging="567" w:start="567" w:end="340"/>
            <w:jc w:val="start"/>
            <w:rPr/>
          </w:pPr>
          <w:hyperlink w:anchor="__RefHeading___Toc446495703" w:tooltip="bilance energií, médií a potřebných hmot">
            <w:r>
              <w:rPr>
                <w:rStyle w:val="Odkaznarejstk"/>
              </w:rPr>
              <w:t>8) bilance energií, médií a potřebných hmot</w:t>
              <w:tab/>
              <w:t>6</w:t>
            </w:r>
          </w:hyperlink>
        </w:p>
        <w:p>
          <w:pPr>
            <w:pStyle w:val="TOC1"/>
            <w:widowControl/>
            <w:tabs>
              <w:tab w:val="clear" w:pos="540"/>
              <w:tab w:val="clear" w:pos="567"/>
              <w:tab w:val="clear" w:pos="9060"/>
              <w:tab w:val="right" w:pos="9899" w:leader="dot"/>
            </w:tabs>
            <w:suppressAutoHyphens w:val="false"/>
            <w:overflowPunct w:val="false"/>
            <w:bidi w:val="0"/>
            <w:spacing w:before="0" w:after="0"/>
            <w:ind w:hanging="567" w:start="567" w:end="340"/>
            <w:jc w:val="start"/>
            <w:rPr/>
          </w:pPr>
          <w:hyperlink w:anchor="__RefHeading___Toc24_1102803605" w:tooltip="zásady ochrany zdraví, bezpečnosti práce při provozu zařízení">
            <w:r>
              <w:rPr>
                <w:rStyle w:val="Odkaznarejstk"/>
              </w:rPr>
              <w:t>9) zásady ochrany zdraví, bezpečnosti práce při provozu zařízení</w:t>
              <w:tab/>
              <w:t>6</w:t>
            </w:r>
          </w:hyperlink>
        </w:p>
        <w:p>
          <w:pPr>
            <w:pStyle w:val="TOC1"/>
            <w:widowControl/>
            <w:tabs>
              <w:tab w:val="clear" w:pos="540"/>
              <w:tab w:val="clear" w:pos="567"/>
              <w:tab w:val="clear" w:pos="9060"/>
              <w:tab w:val="right" w:pos="9899" w:leader="dot"/>
            </w:tabs>
            <w:suppressAutoHyphens w:val="false"/>
            <w:overflowPunct w:val="false"/>
            <w:bidi w:val="0"/>
            <w:spacing w:before="0" w:after="0"/>
            <w:ind w:hanging="567" w:start="567" w:end="340"/>
            <w:jc w:val="start"/>
            <w:rPr/>
          </w:pPr>
          <w:hyperlink w:anchor="__RefHeading___Toc446495709" w:tooltip="ochrana životního prostředí, ochrana proti hluku a vibracím, požární opatření">
            <w:r>
              <w:rPr>
                <w:rStyle w:val="Odkaznarejstk"/>
              </w:rPr>
              <w:t>10) ochrana životního prostředí, ochrana proti hluku a vibracím, požární opatření</w:t>
              <w:tab/>
              <w:t>10</w:t>
            </w:r>
          </w:hyperlink>
        </w:p>
        <w:p>
          <w:pPr>
            <w:pStyle w:val="TOC1"/>
            <w:widowControl/>
            <w:tabs>
              <w:tab w:val="clear" w:pos="540"/>
              <w:tab w:val="clear" w:pos="567"/>
              <w:tab w:val="clear" w:pos="9060"/>
              <w:tab w:val="right" w:pos="9899" w:leader="dot"/>
            </w:tabs>
            <w:suppressAutoHyphens w:val="false"/>
            <w:overflowPunct w:val="false"/>
            <w:bidi w:val="0"/>
            <w:spacing w:before="0" w:after="0"/>
            <w:ind w:hanging="397" w:start="397" w:end="340"/>
            <w:jc w:val="start"/>
            <w:rPr/>
          </w:pPr>
          <w:hyperlink w:anchor="__RefHeading___Toc446495710" w:tooltip="požadavky na postup realizačních prací a podmínky projektanta pro realizaci díla, jeho uvedení do provozu a provozování během životnosti stavby">
            <w:r>
              <w:rPr>
                <w:rStyle w:val="Odkaznarejstk"/>
              </w:rPr>
              <w:t>11) požadavky na postup realizačních prací a podmínky projektanta pro realizaci díla, jeho uvedení                  do provozu a provozování během životnosti stavby</w:t>
              <w:tab/>
              <w:t>10</w:t>
            </w:r>
          </w:hyperlink>
          <w:r>
            <w:rPr>
              <w:rStyle w:val="Odkaznarejstk"/>
            </w:rPr>
            <w:fldChar w:fldCharType="end"/>
          </w:r>
        </w:p>
      </w:sdtContent>
    </w:sdt>
    <w:p>
      <w:pPr>
        <w:pStyle w:val="Normal"/>
        <w:tabs>
          <w:tab w:val="clear" w:pos="720"/>
          <w:tab w:val="right" w:pos="9360" w:leader="dot"/>
        </w:tabs>
        <w:ind w:hanging="0" w:start="0" w:end="900"/>
        <w:rPr>
          <w:rFonts w:ascii="Times New Roman" w:hAnsi="Times New Roman" w:cs="Times New Roman"/>
          <w:sz w:val="22"/>
          <w:szCs w:val="24"/>
          <w:lang w:val="cs-CZ" w:eastAsia="cs-CZ"/>
        </w:rPr>
      </w:pPr>
      <w:r>
        <w:rPr>
          <w:rFonts w:cs="Times New Roman" w:ascii="Times New Roman" w:hAnsi="Times New Roman"/>
          <w:sz w:val="22"/>
          <w:szCs w:val="24"/>
          <w:lang w:val="cs-CZ" w:eastAsia="cs-CZ"/>
        </w:rPr>
      </w:r>
    </w:p>
    <w:p>
      <w:pPr>
        <w:pStyle w:val="Normal"/>
        <w:rPr>
          <w:b/>
          <w:sz w:val="24"/>
        </w:rPr>
      </w:pPr>
      <w:r>
        <w:rPr>
          <w:b/>
          <w:sz w:val="24"/>
        </w:rPr>
        <w:t>Přílohy TZ:</w:t>
      </w:r>
    </w:p>
    <w:p>
      <w:pPr>
        <w:pStyle w:val="Formtovanv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before="57" w:after="0"/>
        <w:ind w:hanging="0" w:start="0" w:end="901"/>
        <w:rPr>
          <w:rFonts w:ascii="Arial" w:hAnsi="Arial" w:eastAsia="Times New Roman" w:cs="Arial"/>
          <w:bCs/>
          <w:sz w:val="22"/>
          <w:szCs w:val="22"/>
          <w:lang w:eastAsia="en-US"/>
        </w:rPr>
      </w:pPr>
      <w:r>
        <w:rPr>
          <w:rFonts w:eastAsia="Times New Roman" w:cs="Arial" w:ascii="Arial" w:hAnsi="Arial"/>
          <w:bCs/>
          <w:sz w:val="22"/>
          <w:szCs w:val="22"/>
          <w:lang w:eastAsia="en-US"/>
        </w:rPr>
        <w:t>Kabelový seznam</w:t>
      </w:r>
    </w:p>
    <w:p>
      <w:pPr>
        <w:pStyle w:val="Formtovanv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before="57" w:after="0"/>
        <w:ind w:hanging="0" w:start="0" w:end="901"/>
        <w:rPr>
          <w:rFonts w:ascii="Arial" w:hAnsi="Arial" w:eastAsia="Times New Roman" w:cs="Arial"/>
          <w:bCs/>
          <w:sz w:val="22"/>
          <w:szCs w:val="22"/>
          <w:lang w:eastAsia="en-US"/>
        </w:rPr>
      </w:pPr>
      <w:r>
        <w:rPr>
          <w:rFonts w:eastAsia="Times New Roman" w:cs="Arial" w:ascii="Arial" w:hAnsi="Arial"/>
          <w:bCs/>
          <w:sz w:val="22"/>
          <w:szCs w:val="22"/>
          <w:lang w:eastAsia="en-US"/>
        </w:rPr>
        <w:t>Protokol o určení vnějších vlivů</w:t>
      </w:r>
    </w:p>
    <w:p>
      <w:pPr>
        <w:pStyle w:val="Heading1"/>
        <w:shd w:fill="CCCCCC" w:val="clear"/>
        <w:ind w:hanging="357" w:start="357" w:end="0"/>
        <w:rPr/>
      </w:pPr>
      <w:bookmarkStart w:id="0" w:name="__RefHeading___Toc446495695"/>
      <w:bookmarkEnd w:id="0"/>
      <w:r>
        <w:rPr/>
        <w:t>výpis použitých norem - normových hodnot a předpisů</w:t>
      </w:r>
    </w:p>
    <w:tbl>
      <w:tblPr>
        <w:tblW w:w="9628" w:type="dxa"/>
        <w:jc w:val="start"/>
        <w:tblInd w:w="110" w:type="dxa"/>
        <w:tblLayout w:type="fixed"/>
        <w:tblCellMar>
          <w:top w:w="0" w:type="dxa"/>
          <w:start w:w="70" w:type="dxa"/>
          <w:bottom w:w="0" w:type="dxa"/>
          <w:end w:w="70" w:type="dxa"/>
        </w:tblCellMar>
      </w:tblPr>
      <w:tblGrid>
        <w:gridCol w:w="2966"/>
        <w:gridCol w:w="6662"/>
      </w:tblGrid>
      <w:tr>
        <w:trPr>
          <w:trHeight w:val="270" w:hRule="atLeast"/>
        </w:trPr>
        <w:tc>
          <w:tcPr>
            <w:tcW w:w="29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BFBFBF" w:val="clear"/>
            <w:vAlign w:val="bottom"/>
          </w:tcPr>
          <w:p>
            <w:pPr>
              <w:pStyle w:val="Normal"/>
              <w:ind w:hanging="0" w:start="0" w:end="-122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  <w:r>
              <w:rPr>
                <w:b/>
                <w:bCs/>
              </w:rPr>
              <w:t>Označení technické normy</w:t>
            </w:r>
          </w:p>
        </w:tc>
        <w:tc>
          <w:tcPr>
            <w:tcW w:w="66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BFBFBF" w:val="clear"/>
            <w:vAlign w:val="bottom"/>
          </w:tcPr>
          <w:p>
            <w:pPr>
              <w:pStyle w:val="Normal"/>
              <w:ind w:hanging="0" w:start="0" w:end="-122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  <w:r>
              <w:rPr>
                <w:b/>
                <w:bCs/>
              </w:rPr>
              <w:t>Název technické normy</w:t>
            </w:r>
          </w:p>
        </w:tc>
      </w:tr>
      <w:tr>
        <w:trPr>
          <w:trHeight w:val="270" w:hRule="atLeast"/>
        </w:trPr>
        <w:tc>
          <w:tcPr>
            <w:tcW w:w="29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start"/>
              <w:rPr/>
            </w:pPr>
            <w:r>
              <w:rPr/>
              <w:t>ČSN 33 2000-5-51</w:t>
              <w:br/>
              <w:t xml:space="preserve">ed. 3+Z1+Z2          </w:t>
            </w:r>
            <w:r>
              <w:rPr/>
              <w:t>07/2022</w:t>
            </w:r>
          </w:p>
        </w:tc>
        <w:tc>
          <w:tcPr>
            <w:tcW w:w="66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start"/>
              <w:rPr/>
            </w:pPr>
            <w:r>
              <w:rPr/>
              <w:t>Elektrické instalace nízkého napětí – Část 5-51: Výběr a stavba elektrických zařízení – Obecné předpisy</w:t>
            </w:r>
          </w:p>
        </w:tc>
      </w:tr>
      <w:tr>
        <w:trPr>
          <w:trHeight w:val="270" w:hRule="atLeast"/>
        </w:trPr>
        <w:tc>
          <w:tcPr>
            <w:tcW w:w="29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start"/>
              <w:rPr/>
            </w:pPr>
            <w:r>
              <w:rPr/>
              <w:t>ČSN 33 20 00 - 4 – 41 ed.3 0</w:t>
            </w:r>
            <w:r>
              <w:rPr/>
              <w:t>7</w:t>
            </w:r>
            <w:r>
              <w:rPr/>
              <w:t>/20</w:t>
            </w:r>
            <w:r>
              <w:rPr/>
              <w:t>22</w:t>
            </w:r>
          </w:p>
        </w:tc>
        <w:tc>
          <w:tcPr>
            <w:tcW w:w="66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Ochrana před úrazem elektrickým proudem</w:t>
            </w:r>
          </w:p>
        </w:tc>
      </w:tr>
      <w:tr>
        <w:trPr>
          <w:trHeight w:val="270" w:hRule="atLeast"/>
        </w:trPr>
        <w:tc>
          <w:tcPr>
            <w:tcW w:w="29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ČSN 33 20 00 - 4 – 43 ed.2</w:t>
            </w:r>
          </w:p>
          <w:p>
            <w:pPr>
              <w:pStyle w:val="Normal"/>
              <w:widowControl w:val="false"/>
              <w:rPr/>
            </w:pPr>
            <w:r>
              <w:rPr/>
              <w:t>12/2010</w:t>
            </w:r>
          </w:p>
        </w:tc>
        <w:tc>
          <w:tcPr>
            <w:tcW w:w="66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Ochrana proti nadproudům</w:t>
            </w:r>
          </w:p>
        </w:tc>
      </w:tr>
      <w:tr>
        <w:trPr>
          <w:trHeight w:val="270" w:hRule="atLeast"/>
        </w:trPr>
        <w:tc>
          <w:tcPr>
            <w:tcW w:w="29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start"/>
              <w:rPr/>
            </w:pPr>
            <w:r>
              <w:rPr/>
              <w:t>ČSN 33 20 00 - 5 – 52 ed.2 02/2012</w:t>
            </w:r>
          </w:p>
        </w:tc>
        <w:tc>
          <w:tcPr>
            <w:tcW w:w="66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Elektrické instalace nízkého napětí,výběr a stavba elektrických  zařízení, Elektrické vedení</w:t>
            </w:r>
          </w:p>
        </w:tc>
      </w:tr>
      <w:tr>
        <w:trPr>
          <w:trHeight w:val="270" w:hRule="atLeast"/>
        </w:trPr>
        <w:tc>
          <w:tcPr>
            <w:tcW w:w="29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start"/>
              <w:rPr/>
            </w:pPr>
            <w:r>
              <w:rPr/>
              <w:t>ČSN 33 20 00 - 5 – 5</w:t>
            </w:r>
            <w:r>
              <w:rPr/>
              <w:t>4</w:t>
            </w:r>
            <w:r>
              <w:rPr/>
              <w:t xml:space="preserve"> ed.</w:t>
            </w:r>
            <w:r>
              <w:rPr/>
              <w:t>3</w:t>
            </w:r>
            <w:r>
              <w:rPr/>
              <w:t xml:space="preserve"> 0</w:t>
            </w:r>
            <w:r>
              <w:rPr/>
              <w:t>4</w:t>
            </w:r>
            <w:r>
              <w:rPr/>
              <w:t>/2012</w:t>
            </w:r>
          </w:p>
        </w:tc>
        <w:tc>
          <w:tcPr>
            <w:tcW w:w="66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Elektrické instalace nízkého napětí,výběr a stavba elektrických  zařízení, Uzemnění a ochranné vodiče</w:t>
            </w:r>
          </w:p>
        </w:tc>
      </w:tr>
      <w:tr>
        <w:trPr>
          <w:trHeight w:val="270" w:hRule="atLeast"/>
        </w:trPr>
        <w:tc>
          <w:tcPr>
            <w:tcW w:w="29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start"/>
              <w:rPr/>
            </w:pPr>
            <w:r>
              <w:rPr/>
              <w:t>ČSN EN IEC 61439-1 ed. 3</w:t>
            </w:r>
          </w:p>
          <w:p>
            <w:pPr>
              <w:pStyle w:val="Normal"/>
              <w:widowControl w:val="false"/>
              <w:jc w:val="start"/>
              <w:rPr/>
            </w:pPr>
            <w:r>
              <w:rPr/>
              <w:t>05/2024</w:t>
            </w:r>
          </w:p>
        </w:tc>
        <w:tc>
          <w:tcPr>
            <w:tcW w:w="66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start"/>
              <w:rPr/>
            </w:pPr>
            <w:r>
              <w:rPr/>
              <w:t>Rozváděče nízkého napětí – Část 1: Obecná ustanovení</w:t>
            </w:r>
          </w:p>
        </w:tc>
      </w:tr>
      <w:tr>
        <w:trPr>
          <w:trHeight w:val="270" w:hRule="atLeast"/>
        </w:trPr>
        <w:tc>
          <w:tcPr>
            <w:tcW w:w="29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ČSN 06 30 10/Z2     09/2017</w:t>
            </w:r>
          </w:p>
        </w:tc>
        <w:tc>
          <w:tcPr>
            <w:tcW w:w="66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Tepelné soustavy v budovách -Projektování a montáž</w:t>
            </w:r>
          </w:p>
        </w:tc>
      </w:tr>
      <w:tr>
        <w:trPr>
          <w:trHeight w:val="270" w:hRule="atLeast"/>
        </w:trPr>
        <w:tc>
          <w:tcPr>
            <w:tcW w:w="29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start"/>
              <w:rPr/>
            </w:pPr>
            <w:r>
              <w:rPr/>
              <w:t>ČSN EN 12828+A1      12/2014</w:t>
            </w:r>
          </w:p>
        </w:tc>
        <w:tc>
          <w:tcPr>
            <w:tcW w:w="66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Tepelné soustavy v budovách -Navrhování teplovodních otopných soustav</w:t>
            </w:r>
          </w:p>
        </w:tc>
      </w:tr>
      <w:tr>
        <w:trPr>
          <w:trHeight w:val="270" w:hRule="atLeast"/>
        </w:trPr>
        <w:tc>
          <w:tcPr>
            <w:tcW w:w="29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NV č. 190/2022 Sb</w:t>
            </w:r>
          </w:p>
        </w:tc>
        <w:tc>
          <w:tcPr>
            <w:tcW w:w="66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Nařízení vlády o vyhrazených technických elektrických zařízeních a požadavcích na zajištění jejich bezpečnosti</w:t>
            </w:r>
          </w:p>
        </w:tc>
      </w:tr>
      <w:tr>
        <w:trPr>
          <w:trHeight w:val="270" w:hRule="atLeast"/>
        </w:trPr>
        <w:tc>
          <w:tcPr>
            <w:tcW w:w="2966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NV č. 194/2022 Sb</w:t>
            </w:r>
          </w:p>
        </w:tc>
        <w:tc>
          <w:tcPr>
            <w:tcW w:w="666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Nařízení vlády o požadavcích na odbornou způsobilost k výkonu činnosti na elektrických zařízeních</w:t>
            </w:r>
          </w:p>
        </w:tc>
      </w:tr>
      <w:tr>
        <w:trPr>
          <w:trHeight w:val="270" w:hRule="atLeast"/>
        </w:trPr>
        <w:tc>
          <w:tcPr>
            <w:tcW w:w="2966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Zákon č. 2502021 Sb</w:t>
            </w:r>
          </w:p>
        </w:tc>
        <w:tc>
          <w:tcPr>
            <w:tcW w:w="666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Zákon o bezpečnosti práce v souvislosti s provozem vyhrazených technických zařízení </w:t>
            </w:r>
          </w:p>
        </w:tc>
      </w:tr>
    </w:tbl>
    <w:p>
      <w:pPr>
        <w:pStyle w:val="Heading1"/>
        <w:shd w:fill="CCCCCC" w:val="clear"/>
        <w:ind w:hanging="357" w:start="357" w:end="0"/>
        <w:rPr/>
      </w:pPr>
      <w:bookmarkStart w:id="1" w:name="__RefHeading___Toc446495696"/>
      <w:bookmarkEnd w:id="1"/>
      <w:r>
        <w:rPr/>
        <w:t>výchozí podklady a stavební program</w:t>
      </w:r>
    </w:p>
    <w:p>
      <w:pPr>
        <w:pStyle w:val="Normal"/>
        <w:spacing w:lineRule="atLeast" w:line="0" w:before="57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i w:val="false"/>
          <w:iCs w:val="false"/>
          <w:sz w:val="24"/>
          <w:szCs w:val="24"/>
        </w:rPr>
        <w:t xml:space="preserve">Projekt MaR v rozsahu </w:t>
      </w:r>
      <w:r>
        <w:rPr>
          <w:rFonts w:cs="Times New Roman" w:ascii="Times New Roman" w:hAnsi="Times New Roman"/>
          <w:i w:val="false"/>
          <w:iCs w:val="false"/>
          <w:sz w:val="24"/>
          <w:szCs w:val="24"/>
        </w:rPr>
        <w:t>provádění stavby</w:t>
      </w:r>
      <w:r>
        <w:rPr>
          <w:rFonts w:cs="Times New Roman" w:ascii="Times New Roman" w:hAnsi="Times New Roman"/>
          <w:i w:val="false"/>
          <w:iCs w:val="false"/>
          <w:sz w:val="24"/>
          <w:szCs w:val="24"/>
        </w:rPr>
        <w:t xml:space="preserve"> zpracovává </w:t>
      </w:r>
      <w:r>
        <w:rPr>
          <w:rFonts w:cs="Times New Roman" w:ascii="Times New Roman" w:hAnsi="Times New Roman"/>
          <w:i w:val="false"/>
          <w:iCs w:val="false"/>
          <w:sz w:val="24"/>
          <w:szCs w:val="24"/>
        </w:rPr>
        <w:t>začlenění doplnění</w:t>
      </w:r>
      <w:r>
        <w:rPr>
          <w:rFonts w:cs="Times New Roman" w:ascii="Times New Roman" w:hAnsi="Times New Roman"/>
          <w:i w:val="false"/>
          <w:iCs w:val="false"/>
          <w:sz w:val="24"/>
          <w:szCs w:val="24"/>
        </w:rPr>
        <w:t xml:space="preserve"> větrání </w:t>
      </w:r>
      <w:r>
        <w:rPr>
          <w:rFonts w:cs="Times New Roman" w:ascii="Times New Roman" w:hAnsi="Times New Roman"/>
          <w:i w:val="false"/>
          <w:iCs w:val="false"/>
          <w:sz w:val="24"/>
          <w:szCs w:val="24"/>
        </w:rPr>
        <w:t xml:space="preserve">s návazností na zdroj tepla </w:t>
      </w:r>
      <w:r>
        <w:rPr>
          <w:rFonts w:cs="Arial" w:ascii="Times New Roman" w:hAnsi="Times New Roman"/>
          <w:i w:val="false"/>
          <w:iCs w:val="false"/>
          <w:sz w:val="24"/>
          <w:szCs w:val="24"/>
        </w:rPr>
        <w:t xml:space="preserve"> v rámci </w:t>
      </w:r>
      <w:r>
        <w:rPr>
          <w:rFonts w:cs="Arial" w:ascii="Times New Roman" w:hAnsi="Times New Roman"/>
          <w:i w:val="false"/>
          <w:iCs w:val="false"/>
          <w:sz w:val="24"/>
          <w:szCs w:val="24"/>
        </w:rPr>
        <w:t xml:space="preserve">úprav budovy -vytvoření </w:t>
      </w:r>
      <w:r>
        <w:rPr>
          <w:rFonts w:ascii="Times New Roman" w:hAnsi="Times New Roman"/>
          <w:sz w:val="24"/>
          <w:szCs w:val="24"/>
        </w:rPr>
        <w:t xml:space="preserve">zázemí odboru sociální péče v části 1NP administrativního objektu URAN v Liberci. </w:t>
      </w:r>
      <w:r>
        <w:rPr>
          <w:rFonts w:ascii="Times New Roman" w:hAnsi="Times New Roman"/>
          <w:sz w:val="24"/>
          <w:szCs w:val="24"/>
        </w:rPr>
        <w:t>Nové v</w:t>
      </w:r>
      <w:r>
        <w:rPr>
          <w:rFonts w:ascii="Times New Roman" w:hAnsi="Times New Roman"/>
          <w:sz w:val="24"/>
          <w:szCs w:val="24"/>
        </w:rPr>
        <w:t xml:space="preserve">ětrací zařízení přivádí v letním období do větraných prostorů </w:t>
      </w:r>
      <w:r>
        <w:rPr>
          <w:rFonts w:ascii="Times New Roman" w:hAnsi="Times New Roman"/>
          <w:sz w:val="24"/>
          <w:szCs w:val="24"/>
        </w:rPr>
        <w:t xml:space="preserve">i </w:t>
      </w:r>
      <w:r>
        <w:rPr>
          <w:rFonts w:ascii="Times New Roman" w:hAnsi="Times New Roman"/>
          <w:sz w:val="24"/>
          <w:szCs w:val="24"/>
        </w:rPr>
        <w:t xml:space="preserve">chlazený vzduch. V nuceně větraných místnostech jsou tepelné ztráty větráním pokryty VZT zařízením. </w:t>
      </w:r>
      <w:r>
        <w:rPr>
          <w:rFonts w:ascii="Times New Roman" w:hAnsi="Times New Roman"/>
          <w:sz w:val="24"/>
          <w:szCs w:val="24"/>
        </w:rPr>
        <w:t>Vytápění v nově upravené části se nemění.</w:t>
      </w:r>
    </w:p>
    <w:p>
      <w:pPr>
        <w:pStyle w:val="Normal"/>
        <w:spacing w:lineRule="atLeast" w:line="0" w:before="57" w:after="0"/>
        <w:jc w:val="both"/>
        <w:rPr/>
      </w:pPr>
      <w:r>
        <w:rPr>
          <w:rFonts w:ascii="Times New Roman" w:hAnsi="Times New Roman"/>
          <w:sz w:val="24"/>
          <w:szCs w:val="24"/>
        </w:rPr>
        <w:t xml:space="preserve">Projekt řeší  </w:t>
      </w:r>
      <w:r>
        <w:rPr>
          <w:rFonts w:cs="Times New Roman" w:ascii="Times New Roman" w:hAnsi="Times New Roman"/>
          <w:i w:val="false"/>
          <w:iCs w:val="false"/>
          <w:sz w:val="24"/>
          <w:szCs w:val="24"/>
        </w:rPr>
        <w:t xml:space="preserve">řízení větrání a jeho návaznosti na stávající zdroj tepla </w:t>
      </w:r>
      <w:r>
        <w:rPr>
          <w:rFonts w:cs="Times New Roman" w:ascii="Times New Roman" w:hAnsi="Times New Roman"/>
          <w:i w:val="false"/>
          <w:iCs w:val="false"/>
          <w:sz w:val="24"/>
          <w:szCs w:val="24"/>
        </w:rPr>
        <w:t>(požadavek na teplo)</w:t>
      </w:r>
      <w:r>
        <w:rPr>
          <w:rFonts w:cs="Times New Roman" w:ascii="Times New Roman" w:hAnsi="Times New Roman"/>
          <w:i w:val="false"/>
          <w:iCs w:val="false"/>
          <w:sz w:val="24"/>
          <w:szCs w:val="24"/>
        </w:rPr>
        <w:t xml:space="preserve">, nový zdroj chladu pro VZT a začlenění nově větraných </w:t>
      </w:r>
      <w:r>
        <w:rPr>
          <w:rFonts w:cs="Times New Roman" w:ascii="Times New Roman" w:hAnsi="Times New Roman"/>
          <w:i w:val="false"/>
          <w:iCs w:val="false"/>
          <w:sz w:val="24"/>
          <w:szCs w:val="24"/>
        </w:rPr>
        <w:t>částí</w:t>
      </w:r>
      <w:r>
        <w:rPr>
          <w:rFonts w:cs="Times New Roman" w:ascii="Times New Roman" w:hAnsi="Times New Roman"/>
          <w:i w:val="false"/>
          <w:iCs w:val="false"/>
          <w:sz w:val="24"/>
          <w:szCs w:val="24"/>
        </w:rPr>
        <w:t xml:space="preserve"> do </w:t>
      </w:r>
      <w:r>
        <w:rPr>
          <w:rFonts w:cs="Times New Roman" w:ascii="Times New Roman" w:hAnsi="Times New Roman"/>
          <w:i w:val="false"/>
          <w:iCs w:val="false"/>
          <w:sz w:val="24"/>
          <w:szCs w:val="24"/>
        </w:rPr>
        <w:t xml:space="preserve">centrálního webserveru </w:t>
      </w:r>
      <w:r>
        <w:rPr>
          <w:rFonts w:cs="Times New Roman" w:ascii="Times New Roman" w:hAnsi="Times New Roman"/>
          <w:i w:val="false"/>
          <w:iCs w:val="false"/>
          <w:sz w:val="24"/>
          <w:szCs w:val="24"/>
        </w:rPr>
        <w:t>správy budovy.</w:t>
      </w:r>
    </w:p>
    <w:p>
      <w:pPr>
        <w:pStyle w:val="Normal"/>
        <w:spacing w:before="120" w:after="0"/>
        <w:rPr/>
      </w:pPr>
      <w:r>
        <w:rPr>
          <w:rFonts w:cs="Times New Roman" w:ascii="Times New Roman" w:hAnsi="Times New Roman"/>
          <w:sz w:val="24"/>
          <w:szCs w:val="24"/>
        </w:rPr>
        <w:t xml:space="preserve">a) </w:t>
      </w:r>
      <w:r>
        <w:rPr>
          <w:rFonts w:cs="Times New Roman" w:ascii="Times New Roman" w:hAnsi="Times New Roman"/>
          <w:sz w:val="24"/>
        </w:rPr>
        <w:t xml:space="preserve">projekty a požadavky projektanta ÚT a VZT </w:t>
      </w:r>
      <w:r>
        <w:rPr>
          <w:rFonts w:cs="Times New Roman" w:ascii="Times New Roman" w:hAnsi="Times New Roman"/>
          <w:sz w:val="24"/>
        </w:rPr>
        <w:t>a stávajícího vytápění</w:t>
      </w:r>
    </w:p>
    <w:p>
      <w:pPr>
        <w:pStyle w:val="Normal"/>
        <w:spacing w:before="60" w:after="0"/>
        <w:rPr/>
      </w:pPr>
      <w:r>
        <w:rPr>
          <w:rFonts w:cs="Times New Roman" w:ascii="Times New Roman" w:hAnsi="Times New Roman"/>
          <w:sz w:val="24"/>
          <w:szCs w:val="24"/>
        </w:rPr>
        <w:t xml:space="preserve">b) </w:t>
      </w:r>
      <w:r>
        <w:rPr>
          <w:rFonts w:cs="Times New Roman" w:ascii="Times New Roman" w:hAnsi="Times New Roman"/>
          <w:sz w:val="24"/>
        </w:rPr>
        <w:t>stavební podklady</w:t>
      </w:r>
    </w:p>
    <w:p>
      <w:pPr>
        <w:pStyle w:val="Normal"/>
        <w:spacing w:before="6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c) příslušné normy a předpisy </w:t>
      </w:r>
    </w:p>
    <w:p>
      <w:pPr>
        <w:pStyle w:val="Heading1"/>
        <w:shd w:fill="CCCCCC" w:val="clear"/>
        <w:ind w:hanging="357" w:start="357" w:end="0"/>
        <w:rPr/>
      </w:pPr>
      <w:bookmarkStart w:id="2" w:name="__RefHeading___Toc18_1102803605"/>
      <w:bookmarkEnd w:id="2"/>
      <w:r>
        <w:rPr/>
        <w:t xml:space="preserve">požadavky na profesi - zadání, klimatické podmínky místa stavby - výpočtové parametry </w:t>
      </w:r>
    </w:p>
    <w:p>
      <w:pPr>
        <w:pStyle w:val="Zkladntext3"/>
        <w:overflowPunct w:val="false"/>
        <w:spacing w:before="120" w:after="120"/>
        <w:textAlignment w:val="auto"/>
        <w:rPr/>
      </w:pPr>
      <w:r>
        <w:rPr>
          <w:rFonts w:cs="Times New Roman"/>
          <w:b/>
          <w:bCs/>
          <w:sz w:val="24"/>
          <w:szCs w:val="24"/>
        </w:rPr>
        <w:t>VNĚJŠÍ KLIMATICKÉ PODMÍNKY V MÍSTĚ STAVBY</w:t>
      </w:r>
      <w:r>
        <w:rPr>
          <w:rFonts w:cs="Times New Roman"/>
          <w:sz w:val="24"/>
          <w:szCs w:val="24"/>
        </w:rPr>
        <w:t>:</w:t>
      </w:r>
    </w:p>
    <w:tbl>
      <w:tblPr>
        <w:tblW w:w="9045" w:type="dxa"/>
        <w:jc w:val="start"/>
        <w:tblInd w:w="-15" w:type="dxa"/>
        <w:tblLayout w:type="fixed"/>
        <w:tblCellMar>
          <w:top w:w="0" w:type="dxa"/>
          <w:start w:w="70" w:type="dxa"/>
          <w:bottom w:w="0" w:type="dxa"/>
          <w:end w:w="70" w:type="dxa"/>
        </w:tblCellMar>
      </w:tblPr>
      <w:tblGrid>
        <w:gridCol w:w="6014"/>
        <w:gridCol w:w="3031"/>
      </w:tblGrid>
      <w:tr>
        <w:trPr/>
        <w:tc>
          <w:tcPr>
            <w:tcW w:w="6014" w:type="dxa"/>
            <w:tcBorders>
              <w:top w:val="single" w:sz="12" w:space="0" w:color="000000"/>
              <w:start w:val="single" w:sz="12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místo stavby</w:t>
            </w:r>
          </w:p>
        </w:tc>
        <w:tc>
          <w:tcPr>
            <w:tcW w:w="3031" w:type="dxa"/>
            <w:tcBorders>
              <w:top w:val="single" w:sz="12" w:space="0" w:color="000000"/>
              <w:start w:val="single" w:sz="6" w:space="0" w:color="000000"/>
              <w:bottom w:val="single" w:sz="6" w:space="0" w:color="000000"/>
              <w:end w:val="single" w:sz="12" w:space="0" w:color="000000"/>
            </w:tcBorders>
          </w:tcPr>
          <w:p>
            <w:pPr>
              <w:pStyle w:val="Normal"/>
              <w:widowControl w:val="false"/>
              <w:rPr>
                <w:rFonts w:eastAsia="Times New Roman" w:cs="Arial"/>
                <w:color w:val="auto"/>
                <w:sz w:val="20"/>
                <w:szCs w:val="20"/>
                <w:lang w:val="cs-CZ" w:eastAsia="zh-CN" w:bidi="ar-SA"/>
              </w:rPr>
            </w:pPr>
            <w:r>
              <w:rPr>
                <w:rFonts w:eastAsia="Times New Roman" w:cs="Arial"/>
                <w:color w:val="auto"/>
                <w:sz w:val="20"/>
                <w:szCs w:val="20"/>
                <w:lang w:val="cs-CZ" w:eastAsia="zh-CN" w:bidi="ar-SA"/>
              </w:rPr>
              <w:t>Liberec</w:t>
            </w:r>
          </w:p>
        </w:tc>
      </w:tr>
      <w:tr>
        <w:trPr/>
        <w:tc>
          <w:tcPr>
            <w:tcW w:w="6014" w:type="dxa"/>
            <w:tcBorders>
              <w:start w:val="single" w:sz="12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nejnižší venkovní výpočtová teplota UT/VZT</w:t>
            </w:r>
          </w:p>
        </w:tc>
        <w:tc>
          <w:tcPr>
            <w:tcW w:w="3031" w:type="dxa"/>
            <w:tcBorders>
              <w:start w:val="single" w:sz="6" w:space="0" w:color="000000"/>
              <w:bottom w:val="single" w:sz="6" w:space="0" w:color="000000"/>
              <w:end w:val="single" w:sz="12" w:space="0" w:color="000000"/>
            </w:tcBorders>
          </w:tcPr>
          <w:p>
            <w:pPr>
              <w:pStyle w:val="Normal"/>
              <w:widowControl w:val="false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-18°C/-15°C</w:t>
            </w:r>
          </w:p>
        </w:tc>
      </w:tr>
      <w:tr>
        <w:trPr/>
        <w:tc>
          <w:tcPr>
            <w:tcW w:w="6014" w:type="dxa"/>
            <w:tcBorders>
              <w:start w:val="single" w:sz="12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průměrná teplota v topném období UT/VZT:</w:t>
            </w:r>
          </w:p>
        </w:tc>
        <w:tc>
          <w:tcPr>
            <w:tcW w:w="3031" w:type="dxa"/>
            <w:tcBorders>
              <w:start w:val="single" w:sz="6" w:space="0" w:color="000000"/>
              <w:bottom w:val="single" w:sz="6" w:space="0" w:color="000000"/>
              <w:end w:val="single" w:sz="12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+3,6°/+5.1C</w:t>
            </w:r>
          </w:p>
        </w:tc>
      </w:tr>
      <w:tr>
        <w:trPr/>
        <w:tc>
          <w:tcPr>
            <w:tcW w:w="6014" w:type="dxa"/>
            <w:tcBorders>
              <w:top w:val="single" w:sz="6" w:space="0" w:color="000000"/>
              <w:start w:val="single" w:sz="12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rPr>
                <w:rFonts w:cs="Arial"/>
                <w:b w:val="false"/>
                <w:bCs w:val="false"/>
                <w:sz w:val="20"/>
                <w:szCs w:val="20"/>
              </w:rPr>
            </w:pPr>
            <w:r>
              <w:rPr>
                <w:rFonts w:cs="Arial"/>
                <w:b w:val="false"/>
                <w:bCs w:val="false"/>
                <w:sz w:val="20"/>
                <w:szCs w:val="20"/>
              </w:rPr>
              <w:t>průměrná denní teplota v nejchladnějším měsíci</w:t>
            </w:r>
          </w:p>
        </w:tc>
        <w:tc>
          <w:tcPr>
            <w:tcW w:w="303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1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Arial"/>
                <w:sz w:val="20"/>
                <w:szCs w:val="20"/>
              </w:rPr>
              <w:t>-2.6°</w:t>
            </w:r>
            <w:r>
              <w:rPr>
                <w:rFonts w:cs="Arial"/>
                <w:sz w:val="20"/>
                <w:szCs w:val="20"/>
              </w:rPr>
              <w:t>C</w:t>
            </w:r>
          </w:p>
        </w:tc>
      </w:tr>
      <w:tr>
        <w:trPr/>
        <w:tc>
          <w:tcPr>
            <w:tcW w:w="6014" w:type="dxa"/>
            <w:tcBorders>
              <w:start w:val="single" w:sz="12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roční průměrná teplota vzduchu</w:t>
            </w:r>
          </w:p>
        </w:tc>
        <w:tc>
          <w:tcPr>
            <w:tcW w:w="3031" w:type="dxa"/>
            <w:tcBorders>
              <w:start w:val="single" w:sz="6" w:space="0" w:color="000000"/>
              <w:bottom w:val="single" w:sz="6" w:space="0" w:color="000000"/>
              <w:end w:val="single" w:sz="1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cs="Arial"/>
                <w:sz w:val="20"/>
                <w:szCs w:val="20"/>
              </w:rPr>
              <w:t>+7,1</w:t>
            </w:r>
            <w:r>
              <w:rPr>
                <w:rFonts w:eastAsia="Times New Roman" w:cs="Arial"/>
                <w:sz w:val="20"/>
                <w:szCs w:val="20"/>
              </w:rPr>
              <w:t>°</w:t>
            </w:r>
            <w:r>
              <w:rPr>
                <w:rFonts w:cs="Arial"/>
                <w:sz w:val="20"/>
                <w:szCs w:val="20"/>
              </w:rPr>
              <w:t>C</w:t>
            </w:r>
          </w:p>
        </w:tc>
      </w:tr>
      <w:tr>
        <w:trPr/>
        <w:tc>
          <w:tcPr>
            <w:tcW w:w="6014" w:type="dxa"/>
            <w:tcBorders>
              <w:start w:val="single" w:sz="12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letní výpočtová teplota VZT</w:t>
            </w:r>
          </w:p>
        </w:tc>
        <w:tc>
          <w:tcPr>
            <w:tcW w:w="3031" w:type="dxa"/>
            <w:tcBorders>
              <w:start w:val="single" w:sz="6" w:space="0" w:color="000000"/>
              <w:bottom w:val="single" w:sz="6" w:space="0" w:color="000000"/>
              <w:end w:val="single" w:sz="1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cs="Arial"/>
                <w:sz w:val="20"/>
                <w:szCs w:val="20"/>
              </w:rPr>
              <w:t>+32</w:t>
            </w:r>
            <w:r>
              <w:rPr>
                <w:rFonts w:eastAsia="Times New Roman" w:cs="Arial"/>
                <w:sz w:val="20"/>
                <w:szCs w:val="20"/>
              </w:rPr>
              <w:t>°</w:t>
            </w:r>
            <w:r>
              <w:rPr>
                <w:rFonts w:cs="Arial"/>
                <w:sz w:val="20"/>
                <w:szCs w:val="20"/>
              </w:rPr>
              <w:t>C 44% rH</w:t>
            </w:r>
          </w:p>
        </w:tc>
      </w:tr>
      <w:tr>
        <w:trPr/>
        <w:tc>
          <w:tcPr>
            <w:tcW w:w="6014" w:type="dxa"/>
            <w:tcBorders>
              <w:top w:val="single" w:sz="6" w:space="0" w:color="000000"/>
              <w:start w:val="single" w:sz="12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počet topných dnů UT/VZT</w:t>
            </w:r>
          </w:p>
        </w:tc>
        <w:tc>
          <w:tcPr>
            <w:tcW w:w="303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12" w:space="0" w:color="000000"/>
            </w:tcBorders>
          </w:tcPr>
          <w:p>
            <w:pPr>
              <w:pStyle w:val="Normal"/>
              <w:widowControl w:val="false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256/298</w:t>
            </w:r>
          </w:p>
        </w:tc>
      </w:tr>
      <w:tr>
        <w:trPr>
          <w:trHeight w:val="170" w:hRule="atLeast"/>
        </w:trPr>
        <w:tc>
          <w:tcPr>
            <w:tcW w:w="6014" w:type="dxa"/>
            <w:tcBorders>
              <w:top w:val="single" w:sz="6" w:space="0" w:color="000000"/>
              <w:start w:val="single" w:sz="12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Teplotní oblast/ krajinné zatížení větrem</w:t>
            </w:r>
          </w:p>
        </w:tc>
        <w:tc>
          <w:tcPr>
            <w:tcW w:w="303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12" w:space="0" w:color="000000"/>
            </w:tcBorders>
          </w:tcPr>
          <w:p>
            <w:pPr>
              <w:pStyle w:val="Normal"/>
              <w:widowControl w:val="false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2/normální</w:t>
            </w:r>
          </w:p>
        </w:tc>
      </w:tr>
    </w:tbl>
    <w:p>
      <w:pPr>
        <w:pStyle w:val="Zkladntext3"/>
        <w:overflowPunct w:val="false"/>
        <w:spacing w:before="170" w:after="57"/>
        <w:jc w:val="both"/>
        <w:textAlignment w:val="auto"/>
        <w:rPr>
          <w:b/>
          <w:bCs/>
          <w:iCs/>
          <w:szCs w:val="24"/>
        </w:rPr>
      </w:pPr>
      <w:r>
        <w:rPr>
          <w:b/>
          <w:bCs/>
          <w:iCs/>
          <w:szCs w:val="24"/>
        </w:rPr>
        <w:t>Současné</w:t>
      </w:r>
      <w:r>
        <w:rPr>
          <w:b/>
          <w:bCs/>
          <w:iCs/>
          <w:szCs w:val="24"/>
        </w:rPr>
        <w:t xml:space="preserve"> strojní řešení ÚT:</w:t>
      </w:r>
    </w:p>
    <w:p>
      <w:pPr>
        <w:pStyle w:val="Normal"/>
        <w:spacing w:lineRule="atLeast" w:line="11" w:before="57" w:after="0"/>
        <w:ind w:end="0"/>
        <w:jc w:val="both"/>
        <w:rPr>
          <w:rFonts w:ascii="Times New Roman" w:hAnsi="Times New Roman" w:eastAsia="Times New Roman" w:cs="Arial"/>
          <w:b w:val="false"/>
          <w:bCs w:val="false"/>
          <w:i w:val="false"/>
          <w:i w:val="false"/>
          <w:iCs w:val="false"/>
          <w:sz w:val="24"/>
          <w:szCs w:val="24"/>
          <w:lang w:val="cs-CZ" w:eastAsia="zh-CN" w:bidi="ar-SA"/>
        </w:rPr>
      </w:pPr>
      <w:r>
        <w:rPr>
          <w:rFonts w:eastAsia="Times New Roman" w:cs="Arial" w:ascii="Times New Roman" w:hAnsi="Times New Roman"/>
          <w:b w:val="false"/>
          <w:bCs w:val="false"/>
          <w:i w:val="false"/>
          <w:iCs w:val="false"/>
          <w:sz w:val="24"/>
          <w:szCs w:val="24"/>
          <w:lang w:val="cs-CZ" w:eastAsia="zh-CN" w:bidi="ar-SA"/>
        </w:rPr>
        <w:t xml:space="preserve">Zdroj tepla není součástí řešení této projektové dokumentace. Napojení v rámci úpravy topného systému na zdroj tepla bude provedeno na výstupu z rozdělovače a sběrače topné vody se zachováním regulačního uzlu s oběhovým čerpadlem, s lokální úpravou dimenzí potrubí. </w:t>
      </w:r>
      <w:r>
        <w:rPr>
          <w:rFonts w:eastAsia="Times New Roman" w:cs="Arial" w:ascii="Times New Roman" w:hAnsi="Times New Roman"/>
          <w:b w:val="false"/>
          <w:bCs w:val="false"/>
          <w:i w:val="false"/>
          <w:iCs w:val="false"/>
          <w:sz w:val="24"/>
          <w:szCs w:val="24"/>
          <w:lang w:val="cs-CZ" w:eastAsia="zh-CN" w:bidi="ar-SA"/>
        </w:rPr>
        <w:t>N</w:t>
      </w:r>
      <w:r>
        <w:rPr>
          <w:rFonts w:eastAsia="Times New Roman" w:cs="Arial" w:ascii="Times New Roman" w:hAnsi="Times New Roman"/>
          <w:b w:val="false"/>
          <w:bCs w:val="false"/>
          <w:i w:val="false"/>
          <w:iCs w:val="false"/>
          <w:sz w:val="24"/>
          <w:szCs w:val="24"/>
          <w:lang w:val="cs-CZ" w:eastAsia="zh-CN" w:bidi="ar-SA"/>
        </w:rPr>
        <w:t xml:space="preserve">apojení jednotky vzduchotechniky pro prostor Odboru sociální péče bude provedeno na patě okruhu napojení stávající vzduchotechnické jednotky </w:t>
      </w:r>
      <w:r>
        <w:rPr>
          <w:rFonts w:eastAsia="Times New Roman" w:cs="Arial" w:ascii="Times New Roman" w:hAnsi="Times New Roman"/>
          <w:b w:val="false"/>
          <w:bCs w:val="false"/>
          <w:i w:val="false"/>
          <w:iCs w:val="false"/>
          <w:sz w:val="24"/>
          <w:szCs w:val="24"/>
          <w:lang w:val="cs-CZ" w:eastAsia="zh-CN" w:bidi="ar-SA"/>
        </w:rPr>
        <w:t>pro</w:t>
      </w:r>
      <w:r>
        <w:rPr>
          <w:rFonts w:eastAsia="Times New Roman" w:cs="Arial" w:ascii="Times New Roman" w:hAnsi="Times New Roman"/>
          <w:b w:val="false"/>
          <w:bCs w:val="false"/>
          <w:i w:val="false"/>
          <w:iCs w:val="false"/>
          <w:sz w:val="24"/>
          <w:szCs w:val="24"/>
          <w:lang w:val="cs-CZ" w:eastAsia="zh-CN" w:bidi="ar-SA"/>
        </w:rPr>
        <w:t xml:space="preserve"> </w:t>
      </w:r>
      <w:r>
        <w:rPr>
          <w:rFonts w:eastAsia="Times New Roman" w:cs="Arial" w:ascii="Times New Roman" w:hAnsi="Times New Roman"/>
          <w:b w:val="false"/>
          <w:bCs w:val="false"/>
          <w:i w:val="false"/>
          <w:iCs w:val="false"/>
          <w:sz w:val="24"/>
          <w:szCs w:val="24"/>
          <w:lang w:val="cs-CZ" w:eastAsia="zh-CN" w:bidi="ar-SA"/>
        </w:rPr>
        <w:t>z</w:t>
      </w:r>
      <w:r>
        <w:rPr>
          <w:rFonts w:eastAsia="Times New Roman" w:cs="Arial" w:ascii="Times New Roman" w:hAnsi="Times New Roman"/>
          <w:b w:val="false"/>
          <w:bCs w:val="false"/>
          <w:i w:val="false"/>
          <w:iCs w:val="false"/>
          <w:sz w:val="24"/>
          <w:szCs w:val="24"/>
          <w:lang w:val="cs-CZ" w:eastAsia="zh-CN" w:bidi="ar-SA"/>
        </w:rPr>
        <w:t>ázemí autobusového nádraží, dimenze společného trubního vedení bude posílena až k odbočce pro novou jednotku, ke stávající jednotce bude dále vedena stávajícím potrubím, k nové novým potrubím pod stropem technického podlaží 1.P.P. k místu vertikálního vedení (stoupačce) do 1. nadzemního podlaží pod strop v místě stávajícího komínového průduchu a dále pod stropem 1. nadzemního podlaží k vlastní jednotce VZT, kde bude napojeno přes systémový regulační uzel s oběhovým čerpadlem na jednotku VZT.</w:t>
      </w:r>
    </w:p>
    <w:p>
      <w:pPr>
        <w:pStyle w:val="Zkladntext3"/>
        <w:overflowPunct w:val="false"/>
        <w:spacing w:lineRule="atLeast" w:line="0" w:before="113" w:after="57"/>
        <w:ind w:hanging="0" w:start="0" w:end="0"/>
        <w:jc w:val="both"/>
        <w:textAlignment w:val="auto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Požadavky na MaR dle ÚT:</w:t>
      </w:r>
    </w:p>
    <w:p>
      <w:pPr>
        <w:pStyle w:val="Normal"/>
        <w:widowControl/>
        <w:numPr>
          <w:ilvl w:val="0"/>
          <w:numId w:val="6"/>
        </w:numPr>
        <w:suppressAutoHyphens w:val="false"/>
        <w:bidi w:val="0"/>
        <w:ind w:hanging="170" w:start="737" w:end="0"/>
        <w:rPr>
          <w:rFonts w:ascii="Times New Roman" w:hAnsi="Times New Roman" w:eastAsia="Times New Roman" w:cs="Times New Roman"/>
          <w:color w:val="auto"/>
          <w:sz w:val="24"/>
          <w:szCs w:val="24"/>
          <w:lang w:val="cs-CZ" w:eastAsia="zh-CN" w:bidi="ar-SA"/>
        </w:rPr>
      </w:pPr>
      <w:r>
        <w:rPr>
          <w:rFonts w:eastAsia="Times New Roman" w:cs="Times New Roman" w:ascii="Times New Roman" w:hAnsi="Times New Roman"/>
          <w:color w:val="auto"/>
          <w:sz w:val="24"/>
          <w:szCs w:val="24"/>
          <w:lang w:val="cs-CZ" w:eastAsia="zh-CN" w:bidi="ar-SA"/>
        </w:rPr>
        <w:t xml:space="preserve">úprava regulace -spínání čerpadla nového okruhu (na stávajícím výstupu z rozdělovače) pro dodávku tepla k </w:t>
      </w:r>
      <w:r>
        <w:rPr>
          <w:rFonts w:eastAsia="Times New Roman" w:cs="Times New Roman" w:ascii="Times New Roman" w:hAnsi="Times New Roman"/>
          <w:color w:val="auto"/>
          <w:sz w:val="24"/>
          <w:szCs w:val="24"/>
          <w:lang w:val="cs-CZ" w:eastAsia="zh-CN" w:bidi="ar-SA"/>
        </w:rPr>
        <w:t xml:space="preserve">nové </w:t>
      </w:r>
      <w:r>
        <w:rPr>
          <w:rFonts w:eastAsia="Times New Roman" w:cs="Times New Roman" w:ascii="Times New Roman" w:hAnsi="Times New Roman"/>
          <w:color w:val="auto"/>
          <w:sz w:val="24"/>
          <w:szCs w:val="24"/>
          <w:lang w:val="cs-CZ" w:eastAsia="zh-CN" w:bidi="ar-SA"/>
        </w:rPr>
        <w:t xml:space="preserve">VZT </w:t>
      </w:r>
      <w:r>
        <w:rPr>
          <w:rFonts w:eastAsia="Times New Roman" w:cs="Times New Roman" w:ascii="Times New Roman" w:hAnsi="Times New Roman"/>
          <w:color w:val="auto"/>
          <w:sz w:val="24"/>
          <w:szCs w:val="24"/>
          <w:lang w:val="cs-CZ" w:eastAsia="zh-CN" w:bidi="ar-SA"/>
        </w:rPr>
        <w:t>pro odbor soc. péče.</w:t>
      </w:r>
    </w:p>
    <w:p>
      <w:pPr>
        <w:pStyle w:val="Zkladntext3"/>
        <w:overflowPunct w:val="false"/>
        <w:spacing w:before="120" w:after="120"/>
        <w:jc w:val="both"/>
        <w:textAlignment w:val="auto"/>
        <w:rPr>
          <w:b/>
          <w:bCs/>
          <w:iCs/>
          <w:szCs w:val="24"/>
        </w:rPr>
      </w:pPr>
      <w:r>
        <w:rPr>
          <w:b/>
          <w:bCs/>
          <w:iCs/>
          <w:szCs w:val="24"/>
        </w:rPr>
        <w:t>Navržené strojní řešení pro větrání řízené MaR:</w:t>
      </w:r>
    </w:p>
    <w:p>
      <w:pPr>
        <w:pStyle w:val="Normal"/>
        <w:spacing w:lineRule="atLeast" w:line="11" w:before="57" w:after="57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Zařízení č. 1 – Větraní kanceláří a zázemí </w:t>
      </w:r>
      <w:r>
        <w:rPr>
          <w:rFonts w:ascii="Times New Roman" w:hAnsi="Times New Roman"/>
          <w:sz w:val="24"/>
          <w:szCs w:val="24"/>
          <w:u w:val="single"/>
        </w:rPr>
        <w:t>1.NP</w:t>
      </w:r>
      <w:r>
        <w:rPr>
          <w:rFonts w:cs="Arial" w:ascii="Times New Roman" w:hAnsi="Times New Roman"/>
          <w:b w:val="false"/>
          <w:bCs w:val="false"/>
          <w:sz w:val="24"/>
          <w:szCs w:val="24"/>
          <w:u w:val="single"/>
        </w:rPr>
        <w:t>:</w:t>
      </w:r>
    </w:p>
    <w:p>
      <w:pPr>
        <w:pStyle w:val="Normal"/>
        <w:snapToGrid w:val="false"/>
        <w:spacing w:lineRule="atLeast" w:line="0" w:before="57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Zařízení pracuje s nuceným přívodem a odvodem vzduchu. Čerstvý vzduch je nasáván na fasádě objektu přes protidešťovou žaluzii. Potrubím s tlumiči hluku je přiveden do VZT jednotky umístěné pod stropem skladu hmotné pomoci v 1.NP objektu. Ve vzduchotechnické jednotce je čerstvý vzduch upravován (filtrace, předehřev v rotačním rekuperátoru, ohřev v teplovodním ohřívači nebo chlazení v chladivovém výměníku) a následně přiveden do větraných administrativních prostorů odboru soc. péče, kde je přes přívodní vířivé anemostaty, vyústky v potrubí nebo talířové ventily vyfukován. Odvod vzduchu je od stropu přes vyústky v potrubí, talířové ventily nebo přes podhled kanceláře. Část vzduchu je odváděna přes hygienické zázemí kanceláří. Odpadní vzduch je přiveden zpět k VZT jednotce, kde předá část své tepelné energie přívodnímu vzduchu v rotačním rekuperátoru a následně je vyfukován na fasádu objektu přes výfukovou protidešťovou žaluzii. </w:t>
      </w:r>
    </w:p>
    <w:p>
      <w:pPr>
        <w:pStyle w:val="Normal"/>
        <w:spacing w:lineRule="atLeast" w:line="0" w:before="57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Množství vzduchu přívod .………………………………………………………….. 2 000 m3/hod</w:t>
      </w:r>
    </w:p>
    <w:p>
      <w:pPr>
        <w:pStyle w:val="Normal"/>
        <w:snapToGrid w:val="false"/>
        <w:spacing w:lineRule="atLeast" w:line="0" w:before="57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Množství vzduchu odvod .………………………………………………………….. 2 000 m3/hod</w:t>
      </w:r>
    </w:p>
    <w:p>
      <w:pPr>
        <w:pStyle w:val="Normal"/>
        <w:snapToGrid w:val="false"/>
        <w:spacing w:lineRule="atLeast" w:line="0" w:before="57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Zdroj chladu pro vzduchotechnickou jednotku – venkovní kondenzační jednotka je osazena na ploché střeše části budovy na úrovni 2NP a s chladivovým výměníkem ve VZT jednotce je propojena izolovaným Cu chladivovým potrubím. Výkon chlazení je řízen DX-kitem (0-10V), </w:t>
      </w:r>
      <w:r>
        <w:rPr>
          <w:rFonts w:cs="Arial" w:ascii="Times New Roman" w:hAnsi="Times New Roman"/>
          <w:sz w:val="24"/>
          <w:szCs w:val="24"/>
        </w:rPr>
        <w:t>který je příslušenstvím venkovní kondenzační jednotky.</w:t>
      </w:r>
    </w:p>
    <w:p>
      <w:pPr>
        <w:pStyle w:val="Normal"/>
        <w:spacing w:before="57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Část VZT rozvodů, které se nacházejí v nově navrženém prostoru odboru soc. péče bude demontována (viz výkres demontáží). Do ostatních prostorů zázemí autobusového nádraží se nezasahuje, pouze se nově provede propojení potrubí přes chodbu 1.17. Konce potrubí u demontovaných větví budou z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slepeny. </w:t>
      </w:r>
      <w:r>
        <w:rPr>
          <w:rFonts w:cs="Arial" w:ascii="Times New Roman" w:hAnsi="Times New Roman"/>
          <w:sz w:val="24"/>
          <w:szCs w:val="24"/>
        </w:rPr>
        <w:t>Je nutno provést nové zaregulování stávajícího VZT zařízení na snížené množství vzduchu.</w:t>
      </w:r>
    </w:p>
    <w:p>
      <w:pPr>
        <w:pStyle w:val="Zkladntext3"/>
        <w:overflowPunct w:val="false"/>
        <w:spacing w:before="113" w:after="57"/>
        <w:jc w:val="both"/>
        <w:textAlignment w:val="auto"/>
        <w:rPr>
          <w:b/>
          <w:bCs/>
        </w:rPr>
      </w:pPr>
      <w:r>
        <w:rPr>
          <w:b/>
          <w:bCs/>
        </w:rPr>
        <w:t>Požadavky na MaR dle VZT :</w:t>
      </w:r>
    </w:p>
    <w:p>
      <w:pPr>
        <w:pStyle w:val="Normal"/>
        <w:spacing w:lineRule="atLeast" w:line="0" w:before="57" w:after="57"/>
        <w:jc w:val="both"/>
        <w:rPr>
          <w:rFonts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>K </w:t>
      </w:r>
      <w:r>
        <w:rPr>
          <w:rFonts w:cs="Arial" w:ascii="Times New Roman" w:hAnsi="Times New Roman"/>
          <w:sz w:val="24"/>
          <w:szCs w:val="24"/>
        </w:rPr>
        <w:t xml:space="preserve">nové </w:t>
      </w:r>
      <w:r>
        <w:rPr>
          <w:rFonts w:cs="Arial" w:ascii="Times New Roman" w:hAnsi="Times New Roman"/>
          <w:sz w:val="24"/>
          <w:szCs w:val="24"/>
        </w:rPr>
        <w:t>vzt. jednot</w:t>
      </w:r>
      <w:r>
        <w:rPr>
          <w:rFonts w:cs="Arial" w:ascii="Times New Roman" w:hAnsi="Times New Roman"/>
          <w:sz w:val="24"/>
          <w:szCs w:val="24"/>
        </w:rPr>
        <w:t>ce</w:t>
      </w:r>
      <w:r>
        <w:rPr>
          <w:rFonts w:cs="Arial" w:ascii="Times New Roman" w:hAnsi="Times New Roman"/>
          <w:sz w:val="24"/>
          <w:szCs w:val="24"/>
        </w:rPr>
        <w:t xml:space="preserve"> bude dodána digitální automatická regulace, s možností výstupu pro nadřazený systém. </w:t>
      </w:r>
      <w:r>
        <w:rPr>
          <w:rFonts w:eastAsia="Times New Roman" w:cs="Times New Roman" w:ascii="Times New Roman" w:hAnsi="Times New Roman"/>
          <w:color w:val="auto"/>
          <w:sz w:val="24"/>
          <w:szCs w:val="24"/>
          <w:u w:val="none"/>
          <w:lang w:val="cs-CZ" w:eastAsia="zh-CN" w:bidi="ar-SA"/>
        </w:rPr>
        <w:t>V autonomní MaR jsou všechna čidla a servopohony a bude součástí dodávky vzduchotechnické jednotky.</w:t>
      </w:r>
    </w:p>
    <w:p>
      <w:pPr>
        <w:pStyle w:val="Normal"/>
        <w:spacing w:lineRule="atLeast" w:line="11" w:before="57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Regulace VZT jednotky obstarává: regulaci otáček EC motorů, regulaci otáček rotačního rekuperátoru, regulaci vodního ohřívače (regulační uzel dodávkou ÚT, 0-10V, napájení 24V), regulaci přímého chladiče (venkovní jednotka dodána včetně DX-kitu, řízení 0-10V), zanesení filtrů, protimrazová ochrana vodního ohřívače, uzavírání klapek na sání a výfuku z jednotky, signalizace chodu zařízení, signalizace poruchových stavů. Navíc bude instalováno čidlo CO2 do odvodního potrubí, a potrubní detektor kouře do nasávacího potrubí, který vypne VZT v případě výskytu zplodin hoření.</w:t>
      </w:r>
    </w:p>
    <w:p>
      <w:pPr>
        <w:pStyle w:val="Normal"/>
        <w:spacing w:lineRule="atLeast" w:line="0" w:before="57" w:after="57"/>
        <w:jc w:val="both"/>
        <w:rPr>
          <w:rFonts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 xml:space="preserve">Komunikace s nadřazenou MaR – Modbus </w:t>
      </w:r>
      <w:r>
        <w:rPr>
          <w:rFonts w:cs="Arial" w:ascii="Times New Roman" w:hAnsi="Times New Roman"/>
          <w:sz w:val="24"/>
          <w:szCs w:val="24"/>
        </w:rPr>
        <w:t>IP</w:t>
      </w:r>
    </w:p>
    <w:p>
      <w:pPr>
        <w:pStyle w:val="Heading1"/>
        <w:shd w:fill="CCCCCC" w:val="clear"/>
        <w:ind w:hanging="357" w:start="357" w:end="0"/>
        <w:rPr/>
      </w:pPr>
      <w:bookmarkStart w:id="3" w:name="__RefHeading___Toc20_1102803605"/>
      <w:bookmarkEnd w:id="3"/>
      <w:r>
        <w:rPr/>
        <w:t>podmínky připojení na místní technickou infrastrukturu</w:t>
      </w:r>
    </w:p>
    <w:p>
      <w:pPr>
        <w:pStyle w:val="BodyText"/>
        <w:spacing w:lineRule="atLeast" w:line="221" w:before="57" w:after="57"/>
        <w:jc w:val="both"/>
        <w:rPr>
          <w:rFonts w:eastAsia="Times New Roman" w:cs="Times New Roman"/>
          <w:b/>
          <w:bCs/>
          <w:color w:val="auto"/>
          <w:sz w:val="24"/>
          <w:szCs w:val="24"/>
          <w:lang w:val="cs-CZ" w:eastAsia="zh-CN" w:bidi="ar-SA"/>
        </w:rPr>
      </w:pPr>
      <w:r>
        <w:rPr>
          <w:rFonts w:eastAsia="Times New Roman" w:cs="Times New Roman"/>
          <w:b/>
          <w:bCs/>
          <w:color w:val="auto"/>
          <w:sz w:val="24"/>
          <w:szCs w:val="24"/>
          <w:lang w:val="cs-CZ" w:eastAsia="zh-CN" w:bidi="ar-SA"/>
        </w:rPr>
        <w:t>Stávající stav</w:t>
      </w:r>
    </w:p>
    <w:p>
      <w:pPr>
        <w:pStyle w:val="BodyText"/>
        <w:spacing w:lineRule="atLeast" w:line="221" w:before="57" w:after="57"/>
        <w:jc w:val="both"/>
        <w:rPr>
          <w:sz w:val="24"/>
          <w:szCs w:val="24"/>
        </w:rPr>
      </w:pPr>
      <w:r>
        <w:rPr>
          <w:rFonts w:eastAsia="Times New Roman" w:cs="Times New Roman"/>
          <w:color w:val="auto"/>
          <w:sz w:val="24"/>
          <w:szCs w:val="24"/>
          <w:lang w:val="cs-CZ" w:eastAsia="zh-CN" w:bidi="ar-SA"/>
        </w:rPr>
        <w:t>V objektu je pro místní nebo dálkový nadřazený monitoring vytápění a větrání již osazen</w:t>
      </w:r>
      <w:r>
        <w:rPr>
          <w:rFonts w:eastAsia="Times New Roman" w:cs="Times New Roman"/>
          <w:color w:val="auto"/>
          <w:sz w:val="24"/>
          <w:szCs w:val="24"/>
          <w:lang w:val="cs-CZ" w:eastAsia="zh-CN" w:bidi="ar-SA"/>
        </w:rPr>
        <w:t xml:space="preserve"> </w:t>
      </w:r>
      <w:r>
        <w:rPr>
          <w:rFonts w:eastAsia="Times New Roman" w:cs="Times New Roman"/>
          <w:color w:val="auto"/>
          <w:sz w:val="24"/>
          <w:szCs w:val="24"/>
          <w:lang w:val="cs-CZ" w:eastAsia="zh-CN" w:bidi="ar-SA"/>
        </w:rPr>
        <w:t xml:space="preserve"> integrační regulátor </w:t>
      </w:r>
      <w:r>
        <w:rPr>
          <w:rFonts w:eastAsia="Times New Roman" w:cs="Times New Roman"/>
          <w:color w:val="auto"/>
          <w:sz w:val="24"/>
          <w:szCs w:val="24"/>
          <w:lang w:val="cs-CZ" w:eastAsia="zh-CN" w:bidi="ar-SA"/>
        </w:rPr>
        <w:t xml:space="preserve">v RA-VZ </w:t>
      </w:r>
      <w:r>
        <w:rPr>
          <w:rFonts w:eastAsia="Times New Roman" w:cs="Times New Roman"/>
          <w:color w:val="auto"/>
          <w:sz w:val="24"/>
          <w:szCs w:val="24"/>
          <w:lang w:val="cs-CZ" w:eastAsia="zh-CN" w:bidi="ar-SA"/>
        </w:rPr>
        <w:t xml:space="preserve"> </w:t>
      </w:r>
      <w:r>
        <w:rPr>
          <w:rFonts w:eastAsia="Times New Roman" w:cs="Times New Roman"/>
          <w:color w:val="auto"/>
          <w:sz w:val="24"/>
          <w:szCs w:val="24"/>
          <w:lang w:val="cs-CZ" w:eastAsia="zh-CN" w:bidi="ar-SA"/>
        </w:rPr>
        <w:t>s</w:t>
      </w:r>
      <w:r>
        <w:rPr>
          <w:rFonts w:eastAsia="Times New Roman" w:cs="Times New Roman"/>
          <w:color w:val="auto"/>
          <w:sz w:val="24"/>
          <w:szCs w:val="24"/>
          <w:lang w:val="cs-CZ" w:eastAsia="zh-CN" w:bidi="ar-SA"/>
        </w:rPr>
        <w:t xml:space="preserve"> centrální</w:t>
      </w:r>
      <w:r>
        <w:rPr>
          <w:rFonts w:eastAsia="Times New Roman" w:cs="Times New Roman"/>
          <w:color w:val="auto"/>
          <w:sz w:val="24"/>
          <w:szCs w:val="24"/>
          <w:lang w:val="cs-CZ" w:eastAsia="zh-CN" w:bidi="ar-SA"/>
        </w:rPr>
        <w:t>m</w:t>
      </w:r>
      <w:r>
        <w:rPr>
          <w:rFonts w:eastAsia="Times New Roman" w:cs="Times New Roman"/>
          <w:color w:val="auto"/>
          <w:sz w:val="24"/>
          <w:szCs w:val="24"/>
          <w:lang w:val="cs-CZ" w:eastAsia="zh-CN" w:bidi="ar-SA"/>
        </w:rPr>
        <w:t xml:space="preserve"> web-server</w:t>
      </w:r>
      <w:r>
        <w:rPr>
          <w:rFonts w:eastAsia="Times New Roman" w:cs="Times New Roman"/>
          <w:color w:val="auto"/>
          <w:sz w:val="24"/>
          <w:szCs w:val="24"/>
          <w:lang w:val="cs-CZ" w:eastAsia="zh-CN" w:bidi="ar-SA"/>
        </w:rPr>
        <w:t xml:space="preserve">em. Regulátor </w:t>
      </w:r>
      <w:r>
        <w:rPr>
          <w:rFonts w:eastAsia="Times New Roman" w:cs="Times New Roman"/>
          <w:color w:val="auto"/>
          <w:sz w:val="24"/>
          <w:szCs w:val="24"/>
          <w:lang w:val="cs-CZ" w:eastAsia="zh-CN" w:bidi="ar-SA"/>
        </w:rPr>
        <w:t>pomocí propojení po místním technologickém ethernet</w:t>
      </w:r>
      <w:r>
        <w:rPr>
          <w:rFonts w:eastAsia="Times New Roman" w:cs="Times New Roman"/>
          <w:color w:val="auto"/>
          <w:sz w:val="24"/>
          <w:szCs w:val="24"/>
          <w:lang w:val="cs-CZ" w:eastAsia="zh-CN" w:bidi="ar-SA"/>
        </w:rPr>
        <w:t>u</w:t>
      </w:r>
      <w:r>
        <w:rPr>
          <w:rFonts w:eastAsia="Times New Roman" w:cs="Times New Roman"/>
          <w:color w:val="auto"/>
          <w:sz w:val="24"/>
          <w:szCs w:val="24"/>
          <w:lang w:val="cs-CZ" w:eastAsia="zh-CN" w:bidi="ar-SA"/>
        </w:rPr>
        <w:t xml:space="preserve"> </w:t>
      </w:r>
      <w:r>
        <w:rPr>
          <w:rFonts w:eastAsia="Times New Roman" w:cs="Times New Roman"/>
          <w:color w:val="auto"/>
          <w:sz w:val="24"/>
          <w:szCs w:val="24"/>
          <w:lang w:val="cs-CZ" w:eastAsia="zh-CN" w:bidi="ar-SA"/>
        </w:rPr>
        <w:t xml:space="preserve">datově integruje </w:t>
      </w:r>
      <w:r>
        <w:rPr>
          <w:rFonts w:eastAsia="Times New Roman" w:cs="Times New Roman"/>
          <w:color w:val="auto"/>
          <w:sz w:val="24"/>
          <w:szCs w:val="24"/>
          <w:lang w:val="cs-CZ" w:eastAsia="zh-CN" w:bidi="ar-SA"/>
        </w:rPr>
        <w:t>chod</w:t>
      </w:r>
      <w:r>
        <w:rPr>
          <w:rFonts w:eastAsia="Times New Roman" w:cs="Times New Roman"/>
          <w:color w:val="auto"/>
          <w:sz w:val="24"/>
          <w:szCs w:val="24"/>
          <w:lang w:val="cs-CZ" w:eastAsia="zh-CN" w:bidi="ar-SA"/>
        </w:rPr>
        <w:t>y</w:t>
      </w:r>
      <w:r>
        <w:rPr>
          <w:rFonts w:eastAsia="Times New Roman" w:cs="Times New Roman"/>
          <w:color w:val="auto"/>
          <w:sz w:val="24"/>
          <w:szCs w:val="24"/>
          <w:lang w:val="cs-CZ" w:eastAsia="zh-CN" w:bidi="ar-SA"/>
        </w:rPr>
        <w:t>, poruch</w:t>
      </w:r>
      <w:r>
        <w:rPr>
          <w:rFonts w:eastAsia="Times New Roman" w:cs="Times New Roman"/>
          <w:color w:val="auto"/>
          <w:sz w:val="24"/>
          <w:szCs w:val="24"/>
          <w:lang w:val="cs-CZ" w:eastAsia="zh-CN" w:bidi="ar-SA"/>
        </w:rPr>
        <w:t>y</w:t>
      </w:r>
      <w:r>
        <w:rPr>
          <w:rFonts w:eastAsia="Times New Roman" w:cs="Times New Roman"/>
          <w:color w:val="auto"/>
          <w:sz w:val="24"/>
          <w:szCs w:val="24"/>
          <w:lang w:val="cs-CZ" w:eastAsia="zh-CN" w:bidi="ar-SA"/>
        </w:rPr>
        <w:t>, požadavk</w:t>
      </w:r>
      <w:r>
        <w:rPr>
          <w:rFonts w:eastAsia="Times New Roman" w:cs="Times New Roman"/>
          <w:color w:val="auto"/>
          <w:sz w:val="24"/>
          <w:szCs w:val="24"/>
          <w:lang w:val="cs-CZ" w:eastAsia="zh-CN" w:bidi="ar-SA"/>
        </w:rPr>
        <w:t>y</w:t>
      </w:r>
      <w:r>
        <w:rPr>
          <w:rFonts w:eastAsia="Times New Roman" w:cs="Times New Roman"/>
          <w:color w:val="auto"/>
          <w:sz w:val="24"/>
          <w:szCs w:val="24"/>
          <w:lang w:val="cs-CZ" w:eastAsia="zh-CN" w:bidi="ar-SA"/>
        </w:rPr>
        <w:t xml:space="preserve"> na teplo a dálkové programové vypnutí/zapnutí z autonomních </w:t>
      </w:r>
      <w:r>
        <w:rPr>
          <w:rFonts w:eastAsia="Times New Roman" w:cs="Times New Roman"/>
          <w:color w:val="auto"/>
          <w:sz w:val="24"/>
          <w:szCs w:val="24"/>
          <w:lang w:val="cs-CZ" w:eastAsia="zh-CN" w:bidi="ar-SA"/>
        </w:rPr>
        <w:t xml:space="preserve">regulátorů </w:t>
      </w:r>
      <w:r>
        <w:rPr>
          <w:rFonts w:eastAsia="Times New Roman" w:cs="Times New Roman"/>
          <w:color w:val="auto"/>
          <w:sz w:val="24"/>
          <w:szCs w:val="24"/>
          <w:lang w:val="cs-CZ" w:eastAsia="zh-CN" w:bidi="ar-SA"/>
        </w:rPr>
        <w:t xml:space="preserve">stávajících </w:t>
      </w:r>
      <w:r>
        <w:rPr>
          <w:rFonts w:eastAsia="Times New Roman" w:cs="Times New Roman"/>
          <w:color w:val="auto"/>
          <w:sz w:val="24"/>
          <w:szCs w:val="24"/>
          <w:lang w:val="cs-CZ" w:eastAsia="zh-CN" w:bidi="ar-SA"/>
        </w:rPr>
        <w:t xml:space="preserve">VZT jednotek </w:t>
      </w:r>
      <w:r>
        <w:rPr>
          <w:rFonts w:eastAsia="Times New Roman" w:cs="Times New Roman"/>
          <w:color w:val="auto"/>
          <w:sz w:val="24"/>
          <w:szCs w:val="24"/>
          <w:lang w:val="cs-CZ" w:eastAsia="zh-CN" w:bidi="ar-SA"/>
        </w:rPr>
        <w:t>a taktéž komunikuje a integruje i v r</w:t>
      </w:r>
      <w:r>
        <w:rPr>
          <w:rFonts w:eastAsia="Times New Roman" w:cs="Times New Roman"/>
          <w:color w:val="auto"/>
          <w:sz w:val="24"/>
          <w:szCs w:val="24"/>
          <w:lang w:val="cs-CZ" w:eastAsia="zh-CN" w:bidi="ar-SA"/>
        </w:rPr>
        <w:t>ozvaděč</w:t>
      </w:r>
      <w:r>
        <w:rPr>
          <w:rFonts w:eastAsia="Times New Roman" w:cs="Times New Roman"/>
          <w:color w:val="auto"/>
          <w:sz w:val="24"/>
          <w:szCs w:val="24"/>
          <w:lang w:val="cs-CZ" w:eastAsia="zh-CN" w:bidi="ar-SA"/>
        </w:rPr>
        <w:t>i</w:t>
      </w:r>
      <w:r>
        <w:rPr>
          <w:rFonts w:eastAsia="Times New Roman" w:cs="Times New Roman"/>
          <w:color w:val="auto"/>
          <w:sz w:val="24"/>
          <w:szCs w:val="24"/>
          <w:lang w:val="cs-CZ" w:eastAsia="zh-CN" w:bidi="ar-SA"/>
        </w:rPr>
        <w:t xml:space="preserve"> MaR1 </w:t>
      </w:r>
      <w:r>
        <w:rPr>
          <w:rFonts w:eastAsia="Times New Roman" w:cs="Times New Roman"/>
          <w:color w:val="auto"/>
          <w:sz w:val="24"/>
          <w:szCs w:val="24"/>
          <w:lang w:val="cs-CZ" w:eastAsia="zh-CN" w:bidi="ar-SA"/>
        </w:rPr>
        <w:t xml:space="preserve">osazený </w:t>
      </w:r>
      <w:r>
        <w:rPr>
          <w:rFonts w:eastAsia="Times New Roman" w:cs="Times New Roman"/>
          <w:color w:val="auto"/>
          <w:sz w:val="24"/>
          <w:szCs w:val="24"/>
          <w:lang w:val="cs-CZ" w:eastAsia="zh-CN" w:bidi="ar-SA"/>
        </w:rPr>
        <w:t xml:space="preserve">DDC regulátor </w:t>
      </w:r>
      <w:r>
        <w:rPr>
          <w:rFonts w:eastAsia="Times New Roman" w:cs="Times New Roman"/>
          <w:color w:val="auto"/>
          <w:sz w:val="24"/>
          <w:szCs w:val="24"/>
          <w:lang w:val="cs-CZ" w:eastAsia="zh-CN" w:bidi="ar-SA"/>
        </w:rPr>
        <w:t>s</w:t>
      </w:r>
      <w:r>
        <w:rPr>
          <w:rFonts w:eastAsia="Times New Roman" w:cs="Times New Roman"/>
          <w:color w:val="auto"/>
          <w:sz w:val="24"/>
          <w:szCs w:val="24"/>
          <w:lang w:val="cs-CZ" w:eastAsia="zh-CN" w:bidi="ar-SA"/>
        </w:rPr>
        <w:t xml:space="preserve"> grafickým ovládacím displeje</w:t>
      </w:r>
      <w:r>
        <w:rPr>
          <w:rFonts w:eastAsia="Times New Roman" w:cs="Times New Roman"/>
          <w:color w:val="auto"/>
          <w:sz w:val="24"/>
          <w:szCs w:val="24"/>
          <w:lang w:val="cs-CZ" w:eastAsia="zh-CN" w:bidi="ar-SA"/>
        </w:rPr>
        <w:t xml:space="preserve">m </w:t>
      </w:r>
      <w:r>
        <w:rPr>
          <w:rFonts w:eastAsia="Times New Roman" w:cs="Times New Roman"/>
          <w:color w:val="auto"/>
          <w:sz w:val="24"/>
          <w:szCs w:val="24"/>
          <w:lang w:val="cs-CZ" w:eastAsia="zh-CN" w:bidi="ar-SA"/>
        </w:rPr>
        <w:t>pro řízení vytápění.</w:t>
      </w:r>
    </w:p>
    <w:p>
      <w:pPr>
        <w:pStyle w:val="BodyText"/>
        <w:spacing w:lineRule="atLeast" w:line="221" w:before="57" w:after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Dohled je možný formou přístupu z kteréhokoliv PC v místní ethernetové síti, nebo dálkově přes internet z centrálního pracoviště energetického managementu města. Taktéž je možný </w:t>
      </w:r>
      <w:r>
        <w:rPr>
          <w:sz w:val="24"/>
          <w:szCs w:val="20"/>
        </w:rPr>
        <w:t xml:space="preserve">i přístup do servisních části </w:t>
      </w:r>
      <w:r>
        <w:rPr>
          <w:sz w:val="24"/>
          <w:szCs w:val="24"/>
        </w:rPr>
        <w:t xml:space="preserve">web-serverů výrobce VZT </w:t>
      </w:r>
      <w:r>
        <w:rPr>
          <w:sz w:val="24"/>
          <w:szCs w:val="24"/>
        </w:rPr>
        <w:t>a regulátoru vytápění.</w:t>
      </w:r>
    </w:p>
    <w:p>
      <w:pPr>
        <w:pStyle w:val="BodyText"/>
        <w:spacing w:lineRule="atLeast" w:line="221" w:before="57" w:after="57"/>
        <w:jc w:val="both"/>
        <w:rPr/>
      </w:pPr>
      <w:r>
        <w:rPr>
          <w:rFonts w:eastAsia="Times New Roman" w:cs="Times New Roman"/>
          <w:color w:val="auto"/>
          <w:sz w:val="24"/>
          <w:szCs w:val="24"/>
          <w:lang w:val="cs-CZ" w:eastAsia="zh-CN" w:bidi="ar-SA"/>
        </w:rPr>
        <w:t xml:space="preserve">Ve stávající strojovně vytápění </w:t>
      </w:r>
      <w:r>
        <w:rPr>
          <w:rFonts w:eastAsia="Times New Roman" w:cs="Times New Roman"/>
          <w:color w:val="auto"/>
          <w:sz w:val="24"/>
          <w:szCs w:val="24"/>
          <w:lang w:val="cs-CZ" w:eastAsia="zh-CN" w:bidi="ar-SA"/>
        </w:rPr>
        <w:t>je</w:t>
      </w:r>
      <w:r>
        <w:rPr>
          <w:rFonts w:eastAsia="Times New Roman" w:cs="Times New Roman"/>
          <w:color w:val="auto"/>
          <w:sz w:val="24"/>
          <w:szCs w:val="24"/>
          <w:lang w:val="cs-CZ" w:eastAsia="zh-CN" w:bidi="ar-SA"/>
        </w:rPr>
        <w:t xml:space="preserve"> pro vyměněný zdroj tepla -OPS napojenou na CZT v Liberci ve vlastním rozvaděči osazena autonomní regulace v dodávce Teplárny Liberec. Regulace má vlastní komunikaci, napojenou podél teplovodu do centrálního dispečinku CZT v Liberci.</w:t>
      </w:r>
    </w:p>
    <w:p>
      <w:pPr>
        <w:pStyle w:val="BodyText"/>
        <w:spacing w:lineRule="atLeast" w:line="221" w:before="57" w:after="57"/>
        <w:jc w:val="both"/>
        <w:rPr>
          <w:rFonts w:eastAsia="Times New Roman" w:cs="Times New Roman"/>
          <w:color w:val="auto"/>
          <w:sz w:val="24"/>
          <w:szCs w:val="24"/>
          <w:lang w:val="cs-CZ" w:eastAsia="zh-CN" w:bidi="ar-SA"/>
        </w:rPr>
      </w:pPr>
      <w:r>
        <w:rPr>
          <w:rFonts w:eastAsia="Times New Roman" w:cs="Times New Roman"/>
          <w:color w:val="auto"/>
          <w:sz w:val="24"/>
          <w:szCs w:val="24"/>
          <w:lang w:val="cs-CZ" w:eastAsia="zh-CN" w:bidi="ar-SA"/>
        </w:rPr>
        <w:t>Rozvaděč teplárny a vytápění jsou propojeny binární a spojitou vazbou požadavku na teplo.</w:t>
      </w:r>
    </w:p>
    <w:p>
      <w:pPr>
        <w:pStyle w:val="BodyText"/>
        <w:spacing w:lineRule="atLeast" w:line="221" w:before="57" w:after="57"/>
        <w:jc w:val="both"/>
        <w:rPr>
          <w:rFonts w:eastAsia="Times New Roman" w:cs="Times New Roman"/>
          <w:b/>
          <w:bCs/>
          <w:color w:val="auto"/>
          <w:sz w:val="24"/>
          <w:szCs w:val="24"/>
          <w:lang w:val="cs-CZ" w:eastAsia="zh-CN" w:bidi="ar-SA"/>
        </w:rPr>
      </w:pPr>
      <w:r>
        <w:rPr>
          <w:rFonts w:eastAsia="Times New Roman" w:cs="Times New Roman"/>
          <w:b/>
          <w:bCs/>
          <w:color w:val="auto"/>
          <w:sz w:val="24"/>
          <w:szCs w:val="24"/>
          <w:lang w:val="cs-CZ" w:eastAsia="zh-CN" w:bidi="ar-SA"/>
        </w:rPr>
        <w:t>Nový stav</w:t>
      </w:r>
    </w:p>
    <w:p>
      <w:pPr>
        <w:pStyle w:val="BodyText"/>
        <w:spacing w:lineRule="atLeast" w:line="221" w:before="57" w:after="57"/>
        <w:jc w:val="both"/>
        <w:rPr>
          <w:sz w:val="24"/>
        </w:rPr>
      </w:pPr>
      <w:r>
        <w:rPr>
          <w:sz w:val="24"/>
        </w:rPr>
        <w:t xml:space="preserve">Pro řízení </w:t>
      </w:r>
      <w:r>
        <w:rPr>
          <w:sz w:val="24"/>
        </w:rPr>
        <w:t xml:space="preserve">nové </w:t>
      </w:r>
      <w:r>
        <w:rPr>
          <w:sz w:val="24"/>
        </w:rPr>
        <w:t xml:space="preserve">VZT </w:t>
      </w:r>
      <w:r>
        <w:rPr>
          <w:sz w:val="24"/>
        </w:rPr>
        <w:t xml:space="preserve">pro odbor soc. zprávy </w:t>
      </w:r>
      <w:r>
        <w:rPr>
          <w:sz w:val="24"/>
        </w:rPr>
        <w:t xml:space="preserve"> </w:t>
      </w:r>
      <w:r>
        <w:rPr>
          <w:sz w:val="24"/>
        </w:rPr>
        <w:t>bude</w:t>
      </w:r>
      <w:r>
        <w:rPr>
          <w:sz w:val="24"/>
        </w:rPr>
        <w:t xml:space="preserve"> osazen nov</w:t>
      </w:r>
      <w:r>
        <w:rPr>
          <w:sz w:val="24"/>
        </w:rPr>
        <w:t>ý</w:t>
      </w:r>
      <w:r>
        <w:rPr>
          <w:sz w:val="24"/>
        </w:rPr>
        <w:t xml:space="preserve"> autonomní regulátor </w:t>
      </w:r>
      <w:r>
        <w:rPr>
          <w:sz w:val="24"/>
        </w:rPr>
        <w:t>(v dodávce VZT, osazen na jednotce)</w:t>
      </w:r>
      <w:r>
        <w:rPr>
          <w:sz w:val="24"/>
        </w:rPr>
        <w:t xml:space="preserve"> s komunikací Modbus TCP-IP (dodán se seznamem adres Modbus pro integraci řízení -dálkové vyp/zap a signalizace chodu, poruchy a požadavku na teplo do MaR) a vlastním servisním </w:t>
      </w:r>
      <w:r>
        <w:rPr>
          <w:sz w:val="24"/>
        </w:rPr>
        <w:t>w</w:t>
      </w:r>
      <w:r>
        <w:rPr>
          <w:sz w:val="24"/>
        </w:rPr>
        <w:t>ebserver</w:t>
      </w:r>
      <w:r>
        <w:rPr>
          <w:sz w:val="24"/>
        </w:rPr>
        <w:t>em</w:t>
      </w:r>
      <w:r>
        <w:rPr>
          <w:sz w:val="24"/>
        </w:rPr>
        <w:t xml:space="preserve">. </w:t>
      </w:r>
    </w:p>
    <w:p>
      <w:pPr>
        <w:pStyle w:val="BodyText"/>
        <w:spacing w:lineRule="atLeast" w:line="221" w:before="57" w:after="57"/>
        <w:jc w:val="both"/>
        <w:rPr/>
      </w:pPr>
      <w:r>
        <w:rPr>
          <w:sz w:val="24"/>
        </w:rPr>
        <w:t>Regulátor bude</w:t>
      </w:r>
      <w:r>
        <w:rPr>
          <w:sz w:val="24"/>
        </w:rPr>
        <w:t xml:space="preserve"> napojen do místní technologické ethernetové sítě </w:t>
      </w:r>
      <w:r>
        <w:rPr>
          <w:sz w:val="24"/>
        </w:rPr>
        <w:t>a datově integrován do stávajícího regulátoru v RA-VZ s centrálním webserverem. Zároveň bude  po stáv.  technologické síti předávat do rozvaděče MaR1 pro vytápění požadavek na teplo pro spouštění podávacího čerpadla.</w:t>
      </w:r>
    </w:p>
    <w:p>
      <w:pPr>
        <w:pStyle w:val="Heading1"/>
        <w:shd w:fill="CCCCCC" w:val="clear"/>
        <w:ind w:hanging="357" w:start="357" w:end="0"/>
        <w:rPr/>
      </w:pPr>
      <w:bookmarkStart w:id="4" w:name="__RefHeading___Toc446495700"/>
      <w:bookmarkEnd w:id="4"/>
      <w:r>
        <w:rPr/>
        <w:t>údaje o škodlivinách se stanovením emisí a jejich koncentrace</w:t>
      </w:r>
    </w:p>
    <w:p>
      <w:pPr>
        <w:pStyle w:val="Normal"/>
        <w:spacing w:lineRule="atLeast" w:line="11" w:before="57" w:after="57"/>
        <w:ind w:hanging="0" w:start="0" w:end="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>z provozu zařízení Měření a regulace nevznikají žádné škodliviny</w:t>
      </w:r>
    </w:p>
    <w:p>
      <w:pPr>
        <w:pStyle w:val="Heading1"/>
        <w:shd w:fill="CCCCCC" w:val="clear"/>
        <w:ind w:hanging="357" w:start="357" w:end="0"/>
        <w:rPr/>
      </w:pPr>
      <w:bookmarkStart w:id="5" w:name="__RefHeading___Toc446495701"/>
      <w:bookmarkEnd w:id="5"/>
      <w:r>
        <w:rPr/>
        <w:t>provozní podmínky - počet osob, tepelné ztráty, tepelné zátěže apod., provozní režim - trvalý, občasný, nepřerušovaný</w:t>
      </w:r>
    </w:p>
    <w:p>
      <w:pPr>
        <w:pStyle w:val="Normal"/>
        <w:spacing w:lineRule="atLeast" w:line="0" w:before="57" w:after="57"/>
        <w:rPr/>
      </w:pPr>
      <w:r>
        <w:rPr>
          <w:rFonts w:ascii="Times New Roman" w:hAnsi="Times New Roman"/>
          <w:b/>
          <w:bCs/>
          <w:sz w:val="24"/>
          <w:szCs w:val="24"/>
        </w:rPr>
        <w:t xml:space="preserve">BILANCE </w:t>
      </w:r>
      <w:r>
        <w:rPr>
          <w:rFonts w:ascii="Times New Roman" w:hAnsi="Times New Roman"/>
          <w:b/>
          <w:bCs/>
          <w:sz w:val="24"/>
          <w:szCs w:val="24"/>
        </w:rPr>
        <w:t xml:space="preserve">ENERGIÍ </w:t>
      </w:r>
      <w:r>
        <w:rPr>
          <w:rFonts w:ascii="Times New Roman" w:hAnsi="Times New Roman"/>
          <w:b/>
          <w:bCs/>
          <w:sz w:val="24"/>
          <w:szCs w:val="24"/>
        </w:rPr>
        <w:t xml:space="preserve">DLE </w:t>
      </w:r>
      <w:r>
        <w:rPr>
          <w:rFonts w:ascii="Times New Roman" w:hAnsi="Times New Roman"/>
          <w:b/>
          <w:bCs/>
          <w:sz w:val="24"/>
          <w:szCs w:val="24"/>
        </w:rPr>
        <w:t>UT</w:t>
      </w:r>
      <w:r>
        <w:rPr>
          <w:rFonts w:ascii="Times New Roman" w:hAnsi="Times New Roman"/>
          <w:b/>
          <w:bCs/>
          <w:i/>
          <w:sz w:val="24"/>
          <w:szCs w:val="24"/>
        </w:rPr>
        <w:t>:</w:t>
      </w:r>
    </w:p>
    <w:tbl>
      <w:tblPr>
        <w:tblW w:w="9700" w:type="dxa"/>
        <w:jc w:val="start"/>
        <w:tblInd w:w="-85" w:type="dxa"/>
        <w:tblLayout w:type="fixed"/>
        <w:tblCellMar>
          <w:top w:w="0" w:type="dxa"/>
          <w:start w:w="70" w:type="dxa"/>
          <w:bottom w:w="0" w:type="dxa"/>
          <w:end w:w="70" w:type="dxa"/>
        </w:tblCellMar>
      </w:tblPr>
      <w:tblGrid>
        <w:gridCol w:w="7441"/>
        <w:gridCol w:w="2259"/>
      </w:tblGrid>
      <w:tr>
        <w:trPr/>
        <w:tc>
          <w:tcPr>
            <w:tcW w:w="7441" w:type="dxa"/>
            <w:tcBorders>
              <w:top w:val="single" w:sz="12" w:space="0" w:color="000000"/>
              <w:start w:val="single" w:sz="12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Potřeba tepla pro jednotku VZT </w:t>
            </w:r>
          </w:p>
        </w:tc>
        <w:tc>
          <w:tcPr>
            <w:tcW w:w="2259" w:type="dxa"/>
            <w:tcBorders>
              <w:top w:val="single" w:sz="12" w:space="0" w:color="000000"/>
              <w:start w:val="single" w:sz="6" w:space="0" w:color="000000"/>
              <w:bottom w:val="single" w:sz="6" w:space="0" w:color="000000"/>
              <w:end w:val="single" w:sz="12" w:space="0" w:color="000000"/>
            </w:tcBorders>
          </w:tcPr>
          <w:p>
            <w:pPr>
              <w:pStyle w:val="Normal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5 kW</w:t>
            </w:r>
          </w:p>
        </w:tc>
      </w:tr>
      <w:tr>
        <w:trPr/>
        <w:tc>
          <w:tcPr>
            <w:tcW w:w="7441" w:type="dxa"/>
            <w:tcBorders>
              <w:start w:val="single" w:sz="12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Předpokládaná roční potřeba tepla pro VZT </w:t>
            </w:r>
          </w:p>
        </w:tc>
        <w:tc>
          <w:tcPr>
            <w:tcW w:w="2259" w:type="dxa"/>
            <w:tcBorders>
              <w:start w:val="single" w:sz="6" w:space="0" w:color="000000"/>
              <w:bottom w:val="single" w:sz="6" w:space="0" w:color="000000"/>
              <w:end w:val="single" w:sz="12" w:space="0" w:color="000000"/>
            </w:tcBorders>
          </w:tcPr>
          <w:p>
            <w:pPr>
              <w:pStyle w:val="Normal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MWh/rok</w:t>
            </w:r>
          </w:p>
        </w:tc>
      </w:tr>
    </w:tbl>
    <w:p>
      <w:pPr>
        <w:pStyle w:val="Normal"/>
        <w:spacing w:lineRule="atLeast" w:line="0" w:before="113" w:after="0"/>
        <w:rPr/>
      </w:pPr>
      <w:r>
        <w:rPr>
          <w:rFonts w:cs="Times New Roman" w:ascii="Times New Roman" w:hAnsi="Times New Roman"/>
          <w:b/>
          <w:i w:val="false"/>
          <w:iCs w:val="false"/>
          <w:sz w:val="24"/>
          <w:szCs w:val="24"/>
        </w:rPr>
        <w:t xml:space="preserve">BILANCE </w:t>
      </w:r>
      <w:r>
        <w:rPr>
          <w:rFonts w:cs="Times New Roman" w:ascii="Times New Roman" w:hAnsi="Times New Roman"/>
          <w:b/>
          <w:i w:val="false"/>
          <w:iCs w:val="false"/>
          <w:sz w:val="24"/>
          <w:szCs w:val="24"/>
        </w:rPr>
        <w:t xml:space="preserve">ENERGIÍ </w:t>
      </w:r>
      <w:r>
        <w:rPr>
          <w:rFonts w:cs="Times New Roman" w:ascii="Times New Roman" w:hAnsi="Times New Roman"/>
          <w:b/>
          <w:i w:val="false"/>
          <w:iCs w:val="false"/>
          <w:sz w:val="24"/>
          <w:szCs w:val="24"/>
        </w:rPr>
        <w:t xml:space="preserve">DLE </w:t>
      </w:r>
      <w:r>
        <w:rPr>
          <w:rFonts w:cs="Times New Roman" w:ascii="Times New Roman" w:hAnsi="Times New Roman"/>
          <w:b/>
          <w:i w:val="false"/>
          <w:iCs w:val="false"/>
          <w:sz w:val="24"/>
          <w:szCs w:val="24"/>
        </w:rPr>
        <w:t>VZT</w:t>
      </w:r>
      <w:r>
        <w:rPr>
          <w:rFonts w:cs="Times New Roman" w:ascii="Times New Roman" w:hAnsi="Times New Roman"/>
          <w:b/>
          <w:i/>
          <w:sz w:val="24"/>
          <w:szCs w:val="24"/>
        </w:rPr>
        <w:t>:</w:t>
      </w:r>
    </w:p>
    <w:p>
      <w:pPr>
        <w:pStyle w:val="Normal"/>
        <w:jc w:val="start"/>
        <w:rPr>
          <w:rFonts w:ascii="Times New Roman" w:hAnsi="Times New Roman"/>
          <w:i w:val="false"/>
          <w:i w:val="false"/>
          <w:iCs w:val="false"/>
          <w:sz w:val="24"/>
          <w:szCs w:val="24"/>
        </w:rPr>
      </w:pPr>
      <w:r>
        <w:rPr>
          <w:rFonts w:ascii="Times New Roman" w:hAnsi="Times New Roman"/>
          <w:i w:val="false"/>
          <w:iCs w:val="false"/>
          <w:sz w:val="24"/>
          <w:szCs w:val="24"/>
        </w:rPr>
        <w:t>Elektrická energie ...............................................................................….…400/230 V, 50 Hz</w:t>
      </w:r>
    </w:p>
    <w:p>
      <w:pPr>
        <w:pStyle w:val="Normal"/>
        <w:jc w:val="start"/>
        <w:rPr>
          <w:rFonts w:ascii="Times New Roman" w:hAnsi="Times New Roman"/>
          <w:i w:val="false"/>
          <w:i w:val="false"/>
          <w:iCs w:val="false"/>
          <w:sz w:val="24"/>
          <w:szCs w:val="24"/>
        </w:rPr>
      </w:pPr>
      <w:r>
        <w:rPr>
          <w:rFonts w:ascii="Times New Roman" w:hAnsi="Times New Roman"/>
          <w:i w:val="false"/>
          <w:iCs w:val="false"/>
          <w:sz w:val="24"/>
          <w:szCs w:val="24"/>
        </w:rPr>
        <w:t>Instalovaný el. výkon VZT jednotky a venkovní chladící jednotky ………………….5,16kW</w:t>
      </w:r>
    </w:p>
    <w:p>
      <w:pPr>
        <w:pStyle w:val="Normal"/>
        <w:jc w:val="start"/>
        <w:rPr>
          <w:rFonts w:ascii="Times New Roman" w:hAnsi="Times New Roman"/>
          <w:i w:val="false"/>
          <w:i w:val="false"/>
          <w:iCs w:val="false"/>
          <w:sz w:val="24"/>
          <w:szCs w:val="24"/>
        </w:rPr>
      </w:pPr>
      <w:r>
        <w:rPr>
          <w:rFonts w:ascii="Times New Roman" w:hAnsi="Times New Roman"/>
          <w:i w:val="false"/>
          <w:iCs w:val="false"/>
          <w:sz w:val="24"/>
          <w:szCs w:val="24"/>
        </w:rPr>
        <w:t>Celkový instalovaný chladící výkon ……………………………...…..…….……........10 kW</w:t>
      </w:r>
    </w:p>
    <w:p>
      <w:pPr>
        <w:pStyle w:val="Normal"/>
        <w:jc w:val="start"/>
        <w:rPr>
          <w:rFonts w:ascii="Times New Roman" w:hAnsi="Times New Roman"/>
          <w:i w:val="false"/>
          <w:i w:val="false"/>
          <w:iCs w:val="false"/>
          <w:sz w:val="24"/>
          <w:szCs w:val="24"/>
        </w:rPr>
      </w:pPr>
      <w:r>
        <w:rPr>
          <w:rFonts w:ascii="Times New Roman" w:hAnsi="Times New Roman"/>
          <w:i w:val="false"/>
          <w:iCs w:val="false"/>
          <w:sz w:val="24"/>
          <w:szCs w:val="24"/>
        </w:rPr>
        <w:t>Chladivo ……………………………………………………………………………….....R32</w:t>
      </w:r>
    </w:p>
    <w:p>
      <w:pPr>
        <w:pStyle w:val="Normal"/>
        <w:spacing w:lineRule="atLeast" w:line="0" w:before="57" w:after="57"/>
        <w:rPr>
          <w:rFonts w:ascii="Times New Roman" w:hAnsi="Times New Roman" w:cs="Times New Roman"/>
          <w:b/>
          <w:i w:val="false"/>
          <w:i w:val="false"/>
          <w:iCs w:val="false"/>
          <w:sz w:val="24"/>
          <w:szCs w:val="24"/>
        </w:rPr>
      </w:pPr>
      <w:r>
        <w:rPr>
          <w:rFonts w:cs="Times New Roman" w:ascii="Times New Roman" w:hAnsi="Times New Roman"/>
          <w:b/>
          <w:i w:val="false"/>
          <w:iCs w:val="false"/>
          <w:sz w:val="24"/>
          <w:szCs w:val="24"/>
        </w:rPr>
        <w:t>Celkový instalovaný topný výkon (60/45°C) …..…………...…..…….……..........5,13 kW</w:t>
      </w:r>
    </w:p>
    <w:p>
      <w:pPr>
        <w:pStyle w:val="Normal"/>
        <w:spacing w:before="113" w:after="0"/>
        <w:rPr>
          <w:rFonts w:ascii="Times New Roman" w:hAnsi="Times New Roman" w:eastAsia="Times New Roman" w:cs="Times New Roman"/>
          <w:b/>
          <w:i w:val="false"/>
          <w:i w:val="false"/>
          <w:iCs w:val="false"/>
          <w:color w:val="auto"/>
          <w:sz w:val="24"/>
          <w:szCs w:val="22"/>
          <w:lang w:val="cs-CZ" w:eastAsia="zh-CN" w:bidi="ar-SA"/>
        </w:rPr>
      </w:pPr>
      <w:r>
        <w:rPr>
          <w:rFonts w:eastAsia="Times New Roman" w:cs="Times New Roman" w:ascii="Times New Roman" w:hAnsi="Times New Roman"/>
          <w:b/>
          <w:i w:val="false"/>
          <w:iCs w:val="false"/>
          <w:color w:val="auto"/>
          <w:sz w:val="24"/>
          <w:szCs w:val="22"/>
          <w:lang w:val="cs-CZ" w:eastAsia="zh-CN" w:bidi="ar-SA"/>
        </w:rPr>
        <w:t>VNITŘNÍ MIKROKLIMATICKÉ PODMÍNKY VZT:</w:t>
      </w:r>
    </w:p>
    <w:p>
      <w:pPr>
        <w:pStyle w:val="Normal"/>
        <w:spacing w:lineRule="atLeast" w:line="11" w:before="57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Dávka čerstvého vzduchu na osobu kanceláře………........................................… 50 m3/hod</w:t>
      </w:r>
    </w:p>
    <w:p>
      <w:pPr>
        <w:pStyle w:val="Normal"/>
        <w:spacing w:lineRule="atLeast" w:line="11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Dávka čerstvého vzduchu na osobu zasedací místnost......................................…. 35 m3/hod</w:t>
      </w:r>
    </w:p>
    <w:p>
      <w:pPr>
        <w:pStyle w:val="Normal"/>
        <w:spacing w:lineRule="atLeast" w:line="11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Sociální zařízení</w:t>
      </w:r>
    </w:p>
    <w:p>
      <w:pPr>
        <w:pStyle w:val="Normal"/>
        <w:spacing w:lineRule="atLeast" w:line="11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odvod - WC mísa ................................................................................................... 50 m3/hod</w:t>
      </w:r>
    </w:p>
    <w:p>
      <w:pPr>
        <w:pStyle w:val="Normal"/>
        <w:spacing w:lineRule="atLeast" w:line="11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pisoár ........................................................................................................ ……...25 m3/hod</w:t>
      </w:r>
    </w:p>
    <w:p>
      <w:pPr>
        <w:pStyle w:val="Normal"/>
        <w:spacing w:lineRule="atLeast" w:line="11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umyvadlo …………………….....................................………………..……. ….30 m3/hod</w:t>
      </w:r>
    </w:p>
    <w:p>
      <w:pPr>
        <w:pStyle w:val="Normal"/>
        <w:spacing w:lineRule="atLeast" w:line="11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Min. výměny vzduchu:</w:t>
      </w:r>
    </w:p>
    <w:p>
      <w:pPr>
        <w:pStyle w:val="Normal"/>
        <w:spacing w:lineRule="atLeast" w:line="11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kanceláře …………………………………………………………..………………min 2x/h</w:t>
      </w:r>
    </w:p>
    <w:p>
      <w:pPr>
        <w:pStyle w:val="Normal"/>
        <w:spacing w:lineRule="atLeast" w:line="11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zasedací místnost ……….………………………………………..………………..min 4x/h</w:t>
      </w:r>
    </w:p>
    <w:p>
      <w:pPr>
        <w:pStyle w:val="Normal"/>
        <w:spacing w:lineRule="atLeast" w:line="11" w:before="0" w:after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 w:val="false"/>
          <w:iCs w:val="false"/>
          <w:color w:val="auto"/>
          <w:sz w:val="24"/>
          <w:szCs w:val="24"/>
          <w:lang w:val="cs-CZ" w:eastAsia="zh-CN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sz w:val="24"/>
          <w:szCs w:val="24"/>
          <w:lang w:val="cs-CZ" w:eastAsia="zh-CN" w:bidi="ar-SA"/>
        </w:rPr>
        <w:t>sklad, archiv …………….……………………………………………………..…  0,5-1 x/h</w:t>
      </w:r>
    </w:p>
    <w:p>
      <w:pPr>
        <w:pStyle w:val="Normal"/>
        <w:spacing w:before="170" w:after="57"/>
        <w:rPr>
          <w:rFonts w:ascii="Times New Roman" w:hAnsi="Times New Roman" w:eastAsia="Times New Roman" w:cs="Times New Roman"/>
          <w:b/>
          <w:i w:val="false"/>
          <w:i w:val="false"/>
          <w:iCs w:val="false"/>
          <w:color w:val="auto"/>
          <w:sz w:val="24"/>
          <w:szCs w:val="22"/>
          <w:lang w:val="cs-CZ" w:eastAsia="zh-CN" w:bidi="ar-SA"/>
        </w:rPr>
      </w:pPr>
      <w:r>
        <w:rPr>
          <w:rFonts w:eastAsia="Times New Roman" w:cs="Times New Roman" w:ascii="Times New Roman" w:hAnsi="Times New Roman"/>
          <w:b/>
          <w:i w:val="false"/>
          <w:iCs w:val="false"/>
          <w:color w:val="auto"/>
          <w:sz w:val="24"/>
          <w:szCs w:val="22"/>
          <w:lang w:val="cs-CZ" w:eastAsia="zh-CN" w:bidi="ar-SA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-19050</wp:posOffset>
            </wp:positionH>
            <wp:positionV relativeFrom="paragraph">
              <wp:posOffset>130810</wp:posOffset>
            </wp:positionV>
            <wp:extent cx="6286500" cy="3835400"/>
            <wp:effectExtent l="0" t="0" r="0" b="0"/>
            <wp:wrapSquare wrapText="largest"/>
            <wp:docPr id="1" name="Obrázek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383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Heading1"/>
        <w:shd w:fill="CCCCCC" w:val="clear"/>
        <w:spacing w:before="170" w:after="113"/>
        <w:ind w:hanging="357" w:start="357" w:end="0"/>
        <w:rPr/>
      </w:pPr>
      <w:bookmarkStart w:id="6" w:name="__RefHeading___Toc22_1102803605"/>
      <w:bookmarkEnd w:id="6"/>
      <w:r>
        <w:rPr/>
        <w:t>popis navrženého řešení a dimenzování, popis funkce, uspořádání instalace a systému</w:t>
      </w:r>
    </w:p>
    <w:p>
      <w:pPr>
        <w:pStyle w:val="BodyText"/>
        <w:spacing w:lineRule="atLeast" w:line="11" w:before="57" w:after="57"/>
        <w:ind w:hanging="0" w:start="0" w:end="0"/>
        <w:rPr>
          <w:rFonts w:ascii="Arial" w:hAnsi="Arial" w:cs="Arial"/>
          <w:b/>
          <w:bCs/>
          <w:sz w:val="24"/>
        </w:rPr>
      </w:pPr>
      <w:r>
        <w:rPr>
          <w:rFonts w:cs="Arial" w:ascii="Arial" w:hAnsi="Arial"/>
          <w:b/>
          <w:bCs/>
          <w:sz w:val="24"/>
        </w:rPr>
        <w:t>NAVRŽENÝ ŘÍDÍCÍ SYSTÉM</w:t>
      </w:r>
    </w:p>
    <w:p>
      <w:pPr>
        <w:pStyle w:val="BodyText"/>
        <w:jc w:val="both"/>
        <w:rPr/>
      </w:pPr>
      <w:r>
        <w:rPr>
          <w:sz w:val="24"/>
        </w:rPr>
        <w:t xml:space="preserve">Nová </w:t>
      </w:r>
      <w:r>
        <w:rPr>
          <w:sz w:val="24"/>
        </w:rPr>
        <w:t>VZT jednotk</w:t>
      </w:r>
      <w:r>
        <w:rPr>
          <w:sz w:val="24"/>
        </w:rPr>
        <w:t>a</w:t>
      </w:r>
      <w:r>
        <w:rPr>
          <w:sz w:val="24"/>
        </w:rPr>
        <w:t xml:space="preserve"> bud</w:t>
      </w:r>
      <w:r>
        <w:rPr>
          <w:sz w:val="24"/>
        </w:rPr>
        <w:t>e</w:t>
      </w:r>
      <w:r>
        <w:rPr>
          <w:sz w:val="24"/>
        </w:rPr>
        <w:t xml:space="preserve"> vybaven</w:t>
      </w:r>
      <w:r>
        <w:rPr>
          <w:sz w:val="24"/>
        </w:rPr>
        <w:t>a</w:t>
      </w:r>
      <w:r>
        <w:rPr>
          <w:sz w:val="24"/>
        </w:rPr>
        <w:t xml:space="preserve"> autonomním regulátor</w:t>
      </w:r>
      <w:r>
        <w:rPr>
          <w:sz w:val="24"/>
        </w:rPr>
        <w:t>em</w:t>
      </w:r>
      <w:r>
        <w:rPr>
          <w:sz w:val="24"/>
        </w:rPr>
        <w:t xml:space="preserve"> </w:t>
      </w:r>
      <w:r>
        <w:rPr>
          <w:rFonts w:eastAsia="Times New Roman" w:cs="Times New Roman"/>
          <w:b w:val="false"/>
          <w:bCs w:val="false"/>
          <w:color w:val="auto"/>
          <w:sz w:val="24"/>
          <w:szCs w:val="20"/>
          <w:lang w:val="cs-CZ" w:eastAsia="zh-CN" w:bidi="ar-SA"/>
        </w:rPr>
        <w:t>od</w:t>
      </w:r>
      <w:r>
        <w:rPr>
          <w:rFonts w:cs="Times New Roman"/>
          <w:b w:val="false"/>
          <w:bCs w:val="false"/>
          <w:sz w:val="24"/>
        </w:rPr>
        <w:t xml:space="preserve"> výrobce VZT, </w:t>
      </w:r>
      <w:r>
        <w:rPr>
          <w:sz w:val="24"/>
        </w:rPr>
        <w:t>osazeným přímo na jednot</w:t>
      </w:r>
      <w:r>
        <w:rPr>
          <w:sz w:val="24"/>
        </w:rPr>
        <w:t>ce</w:t>
      </w:r>
      <w:r>
        <w:rPr>
          <w:sz w:val="24"/>
        </w:rPr>
        <w:t xml:space="preserve">. Regulátor </w:t>
      </w:r>
      <w:r>
        <w:rPr>
          <w:sz w:val="24"/>
        </w:rPr>
        <w:t>budo</w:t>
      </w:r>
      <w:r>
        <w:rPr>
          <w:sz w:val="24"/>
        </w:rPr>
        <w:t>u</w:t>
      </w:r>
      <w:r>
        <w:rPr>
          <w:sz w:val="24"/>
        </w:rPr>
        <w:t xml:space="preserve"> </w:t>
      </w:r>
      <w:r>
        <w:rPr>
          <w:sz w:val="24"/>
        </w:rPr>
        <w:t>vy</w:t>
      </w:r>
      <w:r>
        <w:rPr>
          <w:sz w:val="24"/>
        </w:rPr>
        <w:t xml:space="preserve">baven vlastním </w:t>
      </w:r>
      <w:r>
        <w:rPr>
          <w:sz w:val="24"/>
        </w:rPr>
        <w:t xml:space="preserve">servisním </w:t>
      </w:r>
      <w:r>
        <w:rPr>
          <w:sz w:val="24"/>
        </w:rPr>
        <w:t>webovým server</w:t>
      </w:r>
      <w:r>
        <w:rPr>
          <w:sz w:val="24"/>
        </w:rPr>
        <w:t>em  a bude mít ve standartu datový výstup Modbus IP.</w:t>
      </w:r>
    </w:p>
    <w:p>
      <w:pPr>
        <w:pStyle w:val="BodyText"/>
        <w:jc w:val="both"/>
        <w:rPr/>
      </w:pPr>
      <w:r>
        <w:rPr>
          <w:rFonts w:eastAsia="Times New Roman" w:cs="Times New Roman"/>
          <w:b w:val="false"/>
          <w:bCs w:val="false"/>
          <w:color w:val="auto"/>
          <w:sz w:val="24"/>
          <w:szCs w:val="20"/>
          <w:lang w:val="cs-CZ" w:eastAsia="zh-CN" w:bidi="ar-SA"/>
        </w:rPr>
        <w:t xml:space="preserve">Regulátor musí mít možnost externí blokace od signalizace protipožárních klapek a požáru. </w:t>
      </w:r>
      <w:r>
        <w:rPr>
          <w:rFonts w:eastAsia="Times New Roman" w:cs="Times New Roman"/>
          <w:color w:val="auto"/>
          <w:sz w:val="24"/>
          <w:szCs w:val="20"/>
          <w:lang w:val="cs-CZ" w:eastAsia="zh-CN" w:bidi="ar-SA"/>
        </w:rPr>
        <w:t xml:space="preserve"> Je</w:t>
      </w:r>
      <w:r>
        <w:rPr>
          <w:rFonts w:eastAsia="Times New Roman" w:cs="Times New Roman"/>
          <w:color w:val="auto"/>
          <w:sz w:val="24"/>
          <w:szCs w:val="20"/>
          <w:lang w:val="cs-CZ" w:eastAsia="zh-CN" w:bidi="ar-SA"/>
        </w:rPr>
        <w:t>ho</w:t>
      </w:r>
      <w:r>
        <w:rPr>
          <w:rFonts w:eastAsia="Times New Roman" w:cs="Times New Roman"/>
          <w:color w:val="auto"/>
          <w:sz w:val="24"/>
          <w:szCs w:val="20"/>
          <w:lang w:val="cs-CZ" w:eastAsia="zh-CN" w:bidi="ar-SA"/>
        </w:rPr>
        <w:t xml:space="preserve"> autonomní řízení </w:t>
      </w:r>
      <w:r>
        <w:rPr>
          <w:rFonts w:eastAsia="Times New Roman" w:cs="Times New Roman"/>
          <w:color w:val="auto"/>
          <w:sz w:val="24"/>
          <w:szCs w:val="20"/>
          <w:lang w:val="cs-CZ" w:eastAsia="zh-CN" w:bidi="ar-SA"/>
        </w:rPr>
        <w:t>bude</w:t>
      </w:r>
      <w:r>
        <w:rPr>
          <w:rFonts w:eastAsia="Times New Roman" w:cs="Times New Roman"/>
          <w:color w:val="auto"/>
          <w:sz w:val="24"/>
          <w:szCs w:val="20"/>
          <w:lang w:val="cs-CZ" w:eastAsia="zh-CN" w:bidi="ar-SA"/>
        </w:rPr>
        <w:t xml:space="preserve"> mimo vlastní webserver přes ethernetové rozhraní zaintegrováno do nadřazeného regulátoru </w:t>
      </w:r>
      <w:r>
        <w:rPr>
          <w:rFonts w:eastAsia="Times New Roman" w:cs="Times New Roman"/>
          <w:color w:val="auto"/>
          <w:sz w:val="24"/>
          <w:szCs w:val="20"/>
          <w:lang w:val="cs-CZ" w:eastAsia="zh-CN" w:bidi="ar-SA"/>
        </w:rPr>
        <w:t>MaR</w:t>
      </w:r>
      <w:r>
        <w:rPr>
          <w:rFonts w:eastAsia="Times New Roman" w:cs="Times New Roman"/>
          <w:color w:val="auto"/>
          <w:sz w:val="24"/>
          <w:szCs w:val="20"/>
          <w:lang w:val="cs-CZ" w:eastAsia="zh-CN" w:bidi="ar-SA"/>
        </w:rPr>
        <w:t xml:space="preserve"> </w:t>
      </w:r>
      <w:r>
        <w:rPr>
          <w:rFonts w:eastAsia="Times New Roman" w:cs="Times New Roman"/>
          <w:color w:val="auto"/>
          <w:sz w:val="24"/>
          <w:szCs w:val="20"/>
          <w:lang w:val="cs-CZ" w:eastAsia="zh-CN" w:bidi="ar-SA"/>
        </w:rPr>
        <w:t>v RA-VZ</w:t>
      </w:r>
    </w:p>
    <w:p>
      <w:pPr>
        <w:pStyle w:val="Normal"/>
        <w:spacing w:lineRule="atLeast" w:line="0" w:before="0" w:after="57"/>
        <w:ind w:hanging="0" w:start="0" w:end="0"/>
        <w:jc w:val="both"/>
        <w:rPr>
          <w:rFonts w:ascii="Times New Roman" w:hAnsi="Times New Roman" w:eastAsia="Times New Roman" w:cs="Times New Roman"/>
          <w:b/>
          <w:bCs/>
          <w:color w:val="auto"/>
          <w:spacing w:val="0"/>
          <w:sz w:val="24"/>
          <w:szCs w:val="24"/>
          <w:u w:val="none"/>
          <w:lang w:val="cs-CZ" w:eastAsia="zh-CN"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spacing w:val="0"/>
          <w:sz w:val="24"/>
          <w:szCs w:val="24"/>
          <w:u w:val="none"/>
          <w:lang w:val="cs-CZ" w:eastAsia="zh-CN" w:bidi="ar-SA"/>
        </w:rPr>
        <w:t xml:space="preserve">Dodavatel VZT musí poskytnout veškeré datové podklady (adresaci proměnných modbus) pro integraci do nadřazeného systému. </w:t>
      </w:r>
    </w:p>
    <w:p>
      <w:pPr>
        <w:pStyle w:val="Normal"/>
        <w:spacing w:lineRule="atLeast" w:line="240" w:before="240"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PODROBNÝ POPIS JEDNOTLIVÝCH ČÁSTÍ A OKRUHŮ</w:t>
      </w:r>
    </w:p>
    <w:p>
      <w:pPr>
        <w:pStyle w:val="BodyText"/>
        <w:spacing w:lineRule="atLeast" w:line="11" w:before="57" w:after="113"/>
        <w:ind w:hanging="0" w:start="0" w:end="0"/>
        <w:jc w:val="both"/>
        <w:rPr>
          <w:rFonts w:cs="Times New Roman"/>
          <w:b/>
          <w:bCs/>
          <w:spacing w:val="0"/>
          <w:sz w:val="24"/>
          <w:szCs w:val="24"/>
          <w:u w:val="single"/>
        </w:rPr>
      </w:pPr>
      <w:r>
        <w:rPr>
          <w:rFonts w:cs="Times New Roman"/>
          <w:b/>
          <w:bCs/>
          <w:spacing w:val="0"/>
          <w:sz w:val="24"/>
          <w:szCs w:val="24"/>
          <w:u w:val="single"/>
        </w:rPr>
        <w:t xml:space="preserve">Stávající </w:t>
      </w:r>
      <w:r>
        <w:rPr>
          <w:rFonts w:cs="Times New Roman"/>
          <w:b/>
          <w:bCs/>
          <w:spacing w:val="0"/>
          <w:sz w:val="24"/>
          <w:szCs w:val="24"/>
          <w:u w:val="single"/>
        </w:rPr>
        <w:t>vytápění</w:t>
      </w:r>
      <w:r>
        <w:rPr>
          <w:rFonts w:cs="Times New Roman"/>
          <w:b/>
          <w:bCs/>
          <w:spacing w:val="0"/>
          <w:sz w:val="24"/>
          <w:szCs w:val="24"/>
          <w:u w:val="single"/>
        </w:rPr>
        <w:t>:</w:t>
      </w:r>
    </w:p>
    <w:p>
      <w:pPr>
        <w:pStyle w:val="BodyText"/>
        <w:spacing w:lineRule="atLeast" w:line="221" w:before="57" w:after="57"/>
        <w:jc w:val="both"/>
        <w:rPr>
          <w:rFonts w:eastAsia="Times New Roman" w:cs="Times New Roman"/>
          <w:color w:val="auto"/>
          <w:sz w:val="24"/>
          <w:szCs w:val="24"/>
          <w:lang w:val="cs-CZ" w:eastAsia="zh-CN" w:bidi="ar-SA"/>
        </w:rPr>
      </w:pPr>
      <w:r>
        <w:rPr>
          <w:rFonts w:eastAsia="Times New Roman" w:cs="Times New Roman"/>
          <w:color w:val="auto"/>
          <w:sz w:val="24"/>
          <w:szCs w:val="24"/>
          <w:lang w:val="cs-CZ" w:eastAsia="zh-CN" w:bidi="ar-SA"/>
        </w:rPr>
        <w:t xml:space="preserve">Ve stávající strojovně vytápění </w:t>
      </w:r>
      <w:r>
        <w:rPr>
          <w:rFonts w:eastAsia="Times New Roman" w:cs="Times New Roman"/>
          <w:color w:val="auto"/>
          <w:sz w:val="24"/>
          <w:szCs w:val="24"/>
          <w:lang w:val="cs-CZ" w:eastAsia="zh-CN" w:bidi="ar-SA"/>
        </w:rPr>
        <w:t>se nic nemění, pro novou VZT jednotku bude použito stávající podávací čerpadlo.</w:t>
      </w:r>
    </w:p>
    <w:p>
      <w:pPr>
        <w:pStyle w:val="Normal"/>
        <w:spacing w:lineRule="atLeast" w:line="240" w:before="57" w:after="57"/>
        <w:ind w:hanging="0" w:start="0" w:end="0"/>
        <w:jc w:val="both"/>
        <w:rPr>
          <w:sz w:val="24"/>
          <w:szCs w:val="24"/>
        </w:rPr>
      </w:pPr>
      <w:r>
        <w:rPr>
          <w:rFonts w:ascii="Times New Roman" w:hAnsi="Times New Roman"/>
          <w:b w:val="false"/>
          <w:bCs w:val="false"/>
          <w:spacing w:val="0"/>
          <w:sz w:val="24"/>
          <w:szCs w:val="24"/>
          <w:u w:val="none"/>
        </w:rPr>
        <w:t xml:space="preserve">Ovládání </w:t>
      </w:r>
      <w:r>
        <w:rPr>
          <w:rFonts w:ascii="Times New Roman" w:hAnsi="Times New Roman"/>
          <w:b w:val="false"/>
          <w:bCs w:val="false"/>
          <w:spacing w:val="0"/>
          <w:sz w:val="24"/>
          <w:szCs w:val="24"/>
          <w:u w:val="none"/>
        </w:rPr>
        <w:t>ze</w:t>
      </w:r>
      <w:r>
        <w:rPr>
          <w:rFonts w:ascii="Times New Roman" w:hAnsi="Times New Roman"/>
          <w:b w:val="false"/>
          <w:bCs w:val="false"/>
          <w:spacing w:val="0"/>
          <w:sz w:val="24"/>
          <w:szCs w:val="24"/>
          <w:u w:val="none"/>
        </w:rPr>
        <w:t xml:space="preserve"> </w:t>
      </w:r>
      <w:r>
        <w:rPr>
          <w:rFonts w:ascii="Times New Roman" w:hAnsi="Times New Roman"/>
          <w:b w:val="false"/>
          <w:bCs w:val="false"/>
          <w:spacing w:val="0"/>
          <w:sz w:val="24"/>
          <w:szCs w:val="24"/>
          <w:u w:val="none"/>
        </w:rPr>
        <w:t>stávající</w:t>
      </w:r>
      <w:r>
        <w:rPr>
          <w:rFonts w:ascii="Times New Roman" w:hAnsi="Times New Roman"/>
          <w:b w:val="false"/>
          <w:bCs w:val="false"/>
          <w:spacing w:val="0"/>
          <w:sz w:val="24"/>
          <w:szCs w:val="24"/>
          <w:u w:val="none"/>
        </w:rPr>
        <w:t>ho</w:t>
      </w:r>
      <w:r>
        <w:rPr>
          <w:rFonts w:ascii="Times New Roman" w:hAnsi="Times New Roman"/>
          <w:b w:val="false"/>
          <w:bCs w:val="false"/>
          <w:spacing w:val="0"/>
          <w:sz w:val="24"/>
          <w:szCs w:val="24"/>
          <w:u w:val="none"/>
        </w:rPr>
        <w:t xml:space="preserve"> regulátor</w:t>
      </w:r>
      <w:r>
        <w:rPr>
          <w:rFonts w:ascii="Times New Roman" w:hAnsi="Times New Roman"/>
          <w:b w:val="false"/>
          <w:bCs w:val="false"/>
          <w:spacing w:val="0"/>
          <w:sz w:val="24"/>
          <w:szCs w:val="24"/>
          <w:u w:val="none"/>
        </w:rPr>
        <w:t xml:space="preserve">u MarkMX.2 v MaR1 </w:t>
      </w:r>
      <w:r>
        <w:rPr>
          <w:rFonts w:ascii="Times New Roman" w:hAnsi="Times New Roman"/>
          <w:b w:val="false"/>
          <w:bCs w:val="false"/>
          <w:spacing w:val="0"/>
          <w:sz w:val="24"/>
          <w:szCs w:val="24"/>
          <w:u w:val="none"/>
        </w:rPr>
        <w:t>bude</w:t>
      </w:r>
      <w:r>
        <w:rPr>
          <w:rFonts w:ascii="Times New Roman" w:hAnsi="Times New Roman"/>
          <w:b w:val="false"/>
          <w:bCs w:val="false"/>
          <w:spacing w:val="0"/>
          <w:sz w:val="24"/>
          <w:szCs w:val="24"/>
          <w:u w:val="none"/>
        </w:rPr>
        <w:t xml:space="preserve"> pomocí datového propojení modbus mezi MaR1 a RA-VZ </w:t>
      </w:r>
      <w:r>
        <w:rPr>
          <w:rFonts w:ascii="Times New Roman" w:hAnsi="Times New Roman"/>
          <w:b w:val="false"/>
          <w:bCs w:val="false"/>
          <w:spacing w:val="0"/>
          <w:sz w:val="24"/>
          <w:szCs w:val="24"/>
          <w:u w:val="none"/>
        </w:rPr>
        <w:t>upraveno o po lince Modbus IP doplněný požadavek na teplo z nové VZT.</w:t>
      </w:r>
    </w:p>
    <w:p>
      <w:pPr>
        <w:pStyle w:val="Normal"/>
        <w:spacing w:lineRule="atLeast" w:line="240" w:before="57" w:after="57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spacing w:val="0"/>
          <w:sz w:val="24"/>
          <w:szCs w:val="22"/>
          <w:u w:val="none"/>
          <w:lang w:val="cs-CZ" w:eastAsia="zh-CN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2"/>
          <w:u w:val="none"/>
          <w:lang w:val="cs-CZ" w:eastAsia="zh-CN" w:bidi="ar-SA"/>
        </w:rPr>
        <w:t>Alternativně je možno spouštět čerpadl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2"/>
          <w:u w:val="none"/>
          <w:lang w:val="cs-CZ" w:eastAsia="zh-CN" w:bidi="ar-SA"/>
        </w:rPr>
        <w:t>o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2"/>
          <w:u w:val="none"/>
          <w:lang w:val="cs-CZ" w:eastAsia="zh-CN" w:bidi="ar-SA"/>
        </w:rPr>
        <w:t xml:space="preserve"> od venkovní teploty (T pod cca 15°C).</w:t>
      </w:r>
    </w:p>
    <w:p>
      <w:pPr>
        <w:pStyle w:val="Normal"/>
        <w:spacing w:lineRule="atLeast" w:line="11" w:before="57" w:after="5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VZT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Zařízení č. 1 – Větraní kanceláří a zázemí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1.NP</w:t>
      </w:r>
      <w:r>
        <w:rPr>
          <w:rFonts w:cs="Arial" w:ascii="Times New Roman" w:hAnsi="Times New Roman"/>
          <w:b/>
          <w:bCs/>
          <w:sz w:val="24"/>
          <w:szCs w:val="24"/>
          <w:u w:val="single"/>
        </w:rPr>
        <w:t>:</w:t>
      </w:r>
    </w:p>
    <w:p>
      <w:pPr>
        <w:pStyle w:val="Normal"/>
        <w:snapToGrid w:val="false"/>
        <w:spacing w:lineRule="atLeast" w:line="0" w:before="57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 xml:space="preserve">ařízení pracuje s nuceným přívodem a odvodem vzduchu. </w:t>
      </w:r>
    </w:p>
    <w:p>
      <w:pPr>
        <w:pStyle w:val="Normal"/>
        <w:spacing w:lineRule="atLeast" w:line="0" w:before="57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Množství vzduchu přívod .………………………………………………………….. 2 000 m3/hod</w:t>
      </w:r>
    </w:p>
    <w:p>
      <w:pPr>
        <w:pStyle w:val="Normal"/>
        <w:snapToGrid w:val="false"/>
        <w:spacing w:lineRule="atLeast" w:line="0" w:before="57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Množství vzduchu odvod .………………………………………………………….. 2 000 m3/hod</w:t>
      </w:r>
    </w:p>
    <w:p>
      <w:pPr>
        <w:pStyle w:val="Normal"/>
        <w:snapToGrid w:val="false"/>
        <w:spacing w:lineRule="atLeast" w:line="0" w:before="57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Jednotka je osazena uzavíracími klapkami, ventilátory s EC motory,  filtrací, předehřevem v rotačním rekuperátoru, ohřev v teplovodním ohřívači a chlazením v chladivovém výměníku.</w:t>
      </w:r>
    </w:p>
    <w:p>
      <w:pPr>
        <w:pStyle w:val="Normal"/>
        <w:snapToGrid w:val="false"/>
        <w:spacing w:lineRule="atLeast" w:line="0" w:before="57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Zdroj chladu pro vzduchotechnickou jednotku </w:t>
      </w:r>
      <w:r>
        <w:rPr>
          <w:rFonts w:ascii="Times New Roman" w:hAnsi="Times New Roman"/>
          <w:sz w:val="24"/>
          <w:szCs w:val="24"/>
        </w:rPr>
        <w:t xml:space="preserve">bude </w:t>
      </w:r>
      <w:r>
        <w:rPr>
          <w:rFonts w:ascii="Times New Roman" w:hAnsi="Times New Roman"/>
          <w:sz w:val="24"/>
          <w:szCs w:val="24"/>
        </w:rPr>
        <w:t xml:space="preserve">venkovní kondenzační jednotka s chladivovým výměníkem ve VZT jednotce. Výkon chlazení </w:t>
      </w:r>
      <w:r>
        <w:rPr>
          <w:rFonts w:ascii="Times New Roman" w:hAnsi="Times New Roman"/>
          <w:sz w:val="24"/>
          <w:szCs w:val="24"/>
        </w:rPr>
        <w:t>bude</w:t>
      </w:r>
      <w:r>
        <w:rPr>
          <w:rFonts w:ascii="Times New Roman" w:hAnsi="Times New Roman"/>
          <w:sz w:val="24"/>
          <w:szCs w:val="24"/>
        </w:rPr>
        <w:t xml:space="preserve"> řízen DX-kitem (0-10V), </w:t>
      </w:r>
      <w:r>
        <w:rPr>
          <w:rFonts w:cs="Arial" w:ascii="Times New Roman" w:hAnsi="Times New Roman"/>
          <w:sz w:val="24"/>
          <w:szCs w:val="24"/>
        </w:rPr>
        <w:t>který je příslušenstvím venkovní kondenzační jednotky.</w:t>
      </w:r>
    </w:p>
    <w:p>
      <w:pPr>
        <w:pStyle w:val="Normal"/>
        <w:spacing w:lineRule="atLeast" w:line="0" w:before="57" w:after="57"/>
        <w:jc w:val="both"/>
        <w:rPr>
          <w:rFonts w:ascii="Times New Roman" w:hAnsi="Times New Roman" w:cs="Arial"/>
          <w:b w:val="false"/>
          <w:bCs w:val="false"/>
          <w:i w:val="false"/>
          <w:i w:val="false"/>
          <w:sz w:val="24"/>
          <w:szCs w:val="24"/>
          <w:u w:val="none"/>
        </w:rPr>
      </w:pPr>
      <w:r>
        <w:rPr>
          <w:rFonts w:cs="Arial" w:ascii="Times New Roman" w:hAnsi="Times New Roman"/>
          <w:b w:val="false"/>
          <w:bCs w:val="false"/>
          <w:i w:val="false"/>
          <w:sz w:val="24"/>
          <w:szCs w:val="24"/>
          <w:u w:val="none"/>
        </w:rPr>
        <w:t>Chod jednot</w:t>
      </w:r>
      <w:r>
        <w:rPr>
          <w:rFonts w:cs="Arial" w:ascii="Times New Roman" w:hAnsi="Times New Roman"/>
          <w:b w:val="false"/>
          <w:bCs w:val="false"/>
          <w:i w:val="false"/>
          <w:sz w:val="24"/>
          <w:szCs w:val="24"/>
          <w:u w:val="none"/>
        </w:rPr>
        <w:t>ky</w:t>
      </w:r>
      <w:r>
        <w:rPr>
          <w:rFonts w:cs="Arial" w:ascii="Times New Roman" w:hAnsi="Times New Roman"/>
          <w:b w:val="false"/>
          <w:bCs w:val="false"/>
          <w:i w:val="false"/>
          <w:sz w:val="24"/>
          <w:szCs w:val="24"/>
          <w:u w:val="none"/>
        </w:rPr>
        <w:t xml:space="preserve"> bud</w:t>
      </w:r>
      <w:r>
        <w:rPr>
          <w:rFonts w:cs="Arial" w:ascii="Times New Roman" w:hAnsi="Times New Roman"/>
          <w:b w:val="false"/>
          <w:bCs w:val="false"/>
          <w:i w:val="false"/>
          <w:sz w:val="24"/>
          <w:szCs w:val="24"/>
          <w:u w:val="none"/>
        </w:rPr>
        <w:t>e</w:t>
      </w:r>
      <w:r>
        <w:rPr>
          <w:rFonts w:cs="Arial" w:ascii="Times New Roman" w:hAnsi="Times New Roman"/>
          <w:b w:val="false"/>
          <w:bCs w:val="false"/>
          <w:i w:val="false"/>
          <w:sz w:val="24"/>
          <w:szCs w:val="24"/>
          <w:u w:val="none"/>
        </w:rPr>
        <w:t xml:space="preserve"> řízen digitální, automatickou regulací, </w:t>
      </w:r>
      <w:r>
        <w:rPr>
          <w:rFonts w:cs="Arial" w:ascii="Times New Roman" w:hAnsi="Times New Roman"/>
          <w:b w:val="false"/>
          <w:bCs w:val="false"/>
          <w:i w:val="false"/>
          <w:sz w:val="24"/>
          <w:szCs w:val="24"/>
          <w:u w:val="none"/>
        </w:rPr>
        <w:t xml:space="preserve">která </w:t>
      </w:r>
      <w:r>
        <w:rPr>
          <w:rFonts w:cs="Arial" w:ascii="Times New Roman" w:hAnsi="Times New Roman"/>
          <w:b w:val="false"/>
          <w:bCs w:val="false"/>
          <w:i w:val="false"/>
          <w:sz w:val="24"/>
          <w:szCs w:val="24"/>
          <w:u w:val="none"/>
        </w:rPr>
        <w:t xml:space="preserve">bude dodána společně s vzt. zařízením. </w:t>
      </w:r>
      <w:r>
        <w:rPr>
          <w:rFonts w:cs="Times New Roman" w:ascii="Times New Roman" w:hAnsi="Times New Roman"/>
          <w:b w:val="false"/>
          <w:bCs w:val="false"/>
          <w:i w:val="false"/>
          <w:spacing w:val="0"/>
          <w:sz w:val="24"/>
          <w:szCs w:val="24"/>
          <w:u w:val="none"/>
        </w:rPr>
        <w:t>Autonomní DDC regulátor pro VZT</w:t>
      </w:r>
      <w:r>
        <w:rPr>
          <w:rFonts w:cs="Arial" w:ascii="Times New Roman" w:hAnsi="Times New Roman"/>
          <w:b w:val="false"/>
          <w:bCs w:val="false"/>
          <w:i w:val="false"/>
          <w:spacing w:val="0"/>
          <w:sz w:val="24"/>
          <w:szCs w:val="24"/>
          <w:u w:val="none"/>
        </w:rPr>
        <w:t xml:space="preserve"> bud</w:t>
      </w:r>
      <w:r>
        <w:rPr>
          <w:rFonts w:cs="Arial" w:ascii="Times New Roman" w:hAnsi="Times New Roman"/>
          <w:b w:val="false"/>
          <w:bCs w:val="false"/>
          <w:i w:val="false"/>
          <w:spacing w:val="0"/>
          <w:sz w:val="24"/>
          <w:szCs w:val="24"/>
          <w:u w:val="none"/>
        </w:rPr>
        <w:t>e</w:t>
      </w:r>
      <w:r>
        <w:rPr>
          <w:rFonts w:cs="Arial" w:ascii="Times New Roman" w:hAnsi="Times New Roman"/>
          <w:b w:val="false"/>
          <w:bCs w:val="false"/>
          <w:i w:val="false"/>
          <w:spacing w:val="0"/>
          <w:sz w:val="24"/>
          <w:szCs w:val="24"/>
          <w:u w:val="none"/>
        </w:rPr>
        <w:t xml:space="preserve"> osazen do rozvaděč</w:t>
      </w:r>
      <w:r>
        <w:rPr>
          <w:rFonts w:cs="Arial" w:ascii="Times New Roman" w:hAnsi="Times New Roman"/>
          <w:b w:val="false"/>
          <w:bCs w:val="false"/>
          <w:i w:val="false"/>
          <w:spacing w:val="0"/>
          <w:sz w:val="24"/>
          <w:szCs w:val="24"/>
          <w:u w:val="none"/>
        </w:rPr>
        <w:t>e</w:t>
      </w:r>
      <w:r>
        <w:rPr>
          <w:rFonts w:cs="Arial" w:ascii="Times New Roman" w:hAnsi="Times New Roman"/>
          <w:b w:val="false"/>
          <w:bCs w:val="false"/>
          <w:i w:val="false"/>
          <w:spacing w:val="0"/>
          <w:sz w:val="24"/>
          <w:szCs w:val="24"/>
          <w:u w:val="none"/>
        </w:rPr>
        <w:t xml:space="preserve"> RA-VZ</w:t>
      </w:r>
      <w:r>
        <w:rPr>
          <w:rFonts w:eastAsia="Times New Roman" w:cs="Arial" w:ascii="Times New Roman" w:hAnsi="Times New Roman"/>
          <w:b w:val="false"/>
          <w:bCs w:val="false"/>
          <w:i w:val="false"/>
          <w:color w:val="auto"/>
          <w:spacing w:val="0"/>
          <w:sz w:val="24"/>
          <w:szCs w:val="24"/>
          <w:u w:val="none"/>
          <w:lang w:val="cs-CZ" w:eastAsia="zh-CN" w:bidi="ar-SA"/>
        </w:rPr>
        <w:t>9</w:t>
      </w:r>
      <w:r>
        <w:rPr>
          <w:rFonts w:cs="Arial" w:ascii="Times New Roman" w:hAnsi="Times New Roman"/>
          <w:b w:val="false"/>
          <w:bCs w:val="false"/>
          <w:i w:val="false"/>
          <w:spacing w:val="0"/>
          <w:sz w:val="24"/>
          <w:szCs w:val="24"/>
          <w:u w:val="none"/>
        </w:rPr>
        <w:t xml:space="preserve"> </w:t>
      </w:r>
      <w:r>
        <w:rPr>
          <w:rFonts w:cs="Arial" w:ascii="Times New Roman" w:hAnsi="Times New Roman"/>
          <w:b w:val="false"/>
          <w:bCs w:val="false"/>
          <w:i w:val="false"/>
          <w:spacing w:val="0"/>
          <w:sz w:val="24"/>
          <w:szCs w:val="24"/>
          <w:u w:val="none"/>
        </w:rPr>
        <w:t>přímo na jednotce</w:t>
      </w:r>
      <w:r>
        <w:rPr>
          <w:rFonts w:eastAsia="Times New Roman" w:cs="Arial" w:ascii="Times New Roman" w:hAnsi="Times New Roman"/>
          <w:b w:val="false"/>
          <w:bCs w:val="false"/>
          <w:i w:val="false"/>
          <w:color w:val="auto"/>
          <w:spacing w:val="0"/>
          <w:sz w:val="24"/>
          <w:szCs w:val="24"/>
          <w:u w:val="none"/>
          <w:lang w:val="cs-CZ" w:eastAsia="zh-CN" w:bidi="ar-SA"/>
        </w:rPr>
        <w:t xml:space="preserve">  </w:t>
      </w:r>
      <w:r>
        <w:rPr>
          <w:rFonts w:cs="Arial" w:ascii="Times New Roman" w:hAnsi="Times New Roman"/>
          <w:b w:val="false"/>
          <w:bCs w:val="false"/>
          <w:i w:val="false"/>
          <w:spacing w:val="0"/>
          <w:sz w:val="24"/>
          <w:szCs w:val="24"/>
          <w:u w:val="none"/>
        </w:rPr>
        <w:t>a propojeny do místní ethernetové sítě.</w:t>
      </w:r>
    </w:p>
    <w:p>
      <w:pPr>
        <w:pStyle w:val="Normal"/>
        <w:spacing w:lineRule="atLeast" w:line="11" w:before="57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Autonomní r</w:t>
      </w:r>
      <w:r>
        <w:rPr>
          <w:rFonts w:ascii="Times New Roman" w:hAnsi="Times New Roman"/>
          <w:sz w:val="24"/>
          <w:szCs w:val="24"/>
        </w:rPr>
        <w:t>egulace VZT jednotky obstarává: regulaci otáček EC motorů, regulaci otáček rotačního rekuperátoru, regulaci vodního ohřívače (regulační uzel dodávkou ÚT, 0-10V, napájení 24V), regulaci přímého chladiče (venkovní jednotka dodána včetně DX-kitu, řízení 0-10V), zanesení filtrů, protimrazová ochrana vodního ohřívače, uzavírání klapek na sání a výfuku z jednotky, signalizace chodu zařízení, signalizace poruchových stavů. Navíc bude instalováno čidlo CO2 do odvodního potrubí, a potrubní detektor kouře do nasávacího potrubí, který vypne VZT v případě výskytu zplodin hoření.</w:t>
      </w:r>
    </w:p>
    <w:p>
      <w:pPr>
        <w:pStyle w:val="Normal"/>
        <w:spacing w:lineRule="atLeast" w:line="0" w:before="57" w:after="57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spacing w:val="0"/>
          <w:sz w:val="24"/>
          <w:szCs w:val="24"/>
          <w:u w:val="none"/>
          <w:lang w:val="cs-CZ" w:eastAsia="zh-CN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4"/>
          <w:u w:val="none"/>
          <w:lang w:val="cs-CZ" w:eastAsia="zh-CN" w:bidi="ar-SA"/>
        </w:rPr>
        <w:t xml:space="preserve">Regulátor 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4"/>
          <w:u w:val="none"/>
          <w:lang w:val="cs-CZ" w:eastAsia="zh-CN" w:bidi="ar-SA"/>
        </w:rPr>
        <w:t>bude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4"/>
          <w:u w:val="none"/>
          <w:lang w:val="cs-CZ" w:eastAsia="zh-CN" w:bidi="ar-SA"/>
        </w:rPr>
        <w:t xml:space="preserve"> vybaven vstupem STOP pro externí blokaci od 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4"/>
          <w:u w:val="none"/>
          <w:lang w:val="cs-CZ" w:eastAsia="zh-CN" w:bidi="ar-SA"/>
        </w:rPr>
        <w:t xml:space="preserve">případné 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4"/>
          <w:u w:val="none"/>
          <w:lang w:val="cs-CZ" w:eastAsia="zh-CN" w:bidi="ar-SA"/>
        </w:rPr>
        <w:t xml:space="preserve">signalizace protipožárních klapek 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4"/>
          <w:u w:val="none"/>
          <w:lang w:val="cs-CZ" w:eastAsia="zh-CN" w:bidi="ar-SA"/>
        </w:rPr>
        <w:t>či dalšího požárního čidla.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4"/>
          <w:u w:val="none"/>
          <w:lang w:val="cs-CZ" w:eastAsia="zh-CN" w:bidi="ar-SA"/>
        </w:rPr>
        <w:t xml:space="preserve"> </w:t>
      </w:r>
    </w:p>
    <w:p>
      <w:pPr>
        <w:pStyle w:val="Normal"/>
        <w:spacing w:lineRule="atLeast" w:line="0" w:before="57" w:after="57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spacing w:val="0"/>
          <w:sz w:val="24"/>
          <w:szCs w:val="24"/>
          <w:u w:val="none"/>
          <w:lang w:val="cs-CZ" w:eastAsia="zh-CN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4"/>
          <w:u w:val="none"/>
          <w:lang w:val="cs-CZ" w:eastAsia="zh-CN" w:bidi="ar-SA"/>
        </w:rPr>
        <w:t>Chod, sumární poruch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4"/>
          <w:u w:val="none"/>
          <w:lang w:val="cs-CZ" w:eastAsia="zh-CN" w:bidi="ar-SA"/>
        </w:rPr>
        <w:t>a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4"/>
          <w:u w:val="none"/>
          <w:lang w:val="cs-CZ" w:eastAsia="zh-CN" w:bidi="ar-SA"/>
        </w:rPr>
        <w:t>, výstupní teplot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4"/>
          <w:u w:val="none"/>
          <w:lang w:val="cs-CZ" w:eastAsia="zh-CN" w:bidi="ar-SA"/>
        </w:rPr>
        <w:t>a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4"/>
          <w:u w:val="none"/>
          <w:lang w:val="cs-CZ" w:eastAsia="zh-CN" w:bidi="ar-SA"/>
        </w:rPr>
        <w:t>, zanešení filtrů, požadavek na teplo budou signalizovány na vlastní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4"/>
          <w:u w:val="none"/>
          <w:lang w:val="cs-CZ" w:eastAsia="zh-CN" w:bidi="ar-SA"/>
        </w:rPr>
        <w:t>m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4"/>
          <w:u w:val="none"/>
          <w:lang w:val="cs-CZ" w:eastAsia="zh-CN" w:bidi="ar-SA"/>
        </w:rPr>
        <w:t xml:space="preserve"> web-server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4"/>
          <w:u w:val="none"/>
          <w:lang w:val="cs-CZ" w:eastAsia="zh-CN" w:bidi="ar-SA"/>
        </w:rPr>
        <w:t>u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4"/>
          <w:u w:val="none"/>
          <w:lang w:val="cs-CZ" w:eastAsia="zh-CN" w:bidi="ar-SA"/>
        </w:rPr>
        <w:t xml:space="preserve"> jednotk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4"/>
          <w:u w:val="none"/>
          <w:lang w:val="cs-CZ" w:eastAsia="zh-CN" w:bidi="ar-SA"/>
        </w:rPr>
        <w:t>y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4"/>
          <w:u w:val="none"/>
          <w:lang w:val="cs-CZ" w:eastAsia="zh-CN" w:bidi="ar-SA"/>
        </w:rPr>
        <w:t xml:space="preserve">, 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4"/>
          <w:u w:val="none"/>
          <w:lang w:val="cs-CZ" w:eastAsia="zh-CN" w:bidi="ar-SA"/>
        </w:rPr>
        <w:t>a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4"/>
          <w:u w:val="none"/>
          <w:lang w:val="cs-CZ" w:eastAsia="zh-CN" w:bidi="ar-SA"/>
        </w:rPr>
        <w:t xml:space="preserve"> předává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4"/>
          <w:u w:val="none"/>
          <w:lang w:val="cs-CZ" w:eastAsia="zh-CN" w:bidi="ar-SA"/>
        </w:rPr>
        <w:t>ny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4"/>
          <w:u w:val="none"/>
          <w:lang w:val="cs-CZ" w:eastAsia="zh-CN" w:bidi="ar-SA"/>
        </w:rPr>
        <w:t xml:space="preserve">  po lince Modbus (verze TCP-IP -ethernet) 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4"/>
          <w:u w:val="none"/>
          <w:lang w:val="cs-CZ" w:eastAsia="zh-CN" w:bidi="ar-SA"/>
        </w:rPr>
        <w:t>do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4"/>
          <w:u w:val="none"/>
          <w:lang w:val="cs-CZ" w:eastAsia="zh-CN" w:bidi="ar-SA"/>
        </w:rPr>
        <w:t xml:space="preserve"> integrační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4"/>
          <w:u w:val="none"/>
          <w:lang w:val="cs-CZ" w:eastAsia="zh-CN" w:bidi="ar-SA"/>
        </w:rPr>
        <w:t>ho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4"/>
          <w:u w:val="none"/>
          <w:lang w:val="cs-CZ" w:eastAsia="zh-CN" w:bidi="ar-SA"/>
        </w:rPr>
        <w:t xml:space="preserve"> regulátor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4"/>
          <w:u w:val="none"/>
          <w:lang w:val="cs-CZ" w:eastAsia="zh-CN" w:bidi="ar-SA"/>
        </w:rPr>
        <w:t>u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4"/>
          <w:u w:val="none"/>
          <w:lang w:val="cs-CZ" w:eastAsia="zh-CN" w:bidi="ar-SA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4"/>
          <w:u w:val="none"/>
          <w:lang w:val="cs-CZ" w:eastAsia="zh-CN" w:bidi="ar-SA"/>
        </w:rPr>
        <w:t xml:space="preserve">v RA-VZ 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4"/>
          <w:u w:val="none"/>
          <w:lang w:val="cs-CZ" w:eastAsia="zh-CN" w:bidi="ar-SA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4"/>
          <w:u w:val="none"/>
          <w:lang w:val="cs-CZ" w:eastAsia="zh-CN" w:bidi="ar-SA"/>
        </w:rPr>
        <w:t>s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4"/>
          <w:u w:val="none"/>
          <w:lang w:val="cs-CZ" w:eastAsia="zh-CN" w:bidi="ar-SA"/>
        </w:rPr>
        <w:t xml:space="preserve"> centrální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4"/>
          <w:u w:val="none"/>
          <w:lang w:val="cs-CZ" w:eastAsia="zh-CN" w:bidi="ar-SA"/>
        </w:rPr>
        <w:t>m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4"/>
          <w:u w:val="none"/>
          <w:lang w:val="cs-CZ" w:eastAsia="zh-CN" w:bidi="ar-SA"/>
        </w:rPr>
        <w:t xml:space="preserve"> web-server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4"/>
          <w:u w:val="none"/>
          <w:lang w:val="cs-CZ" w:eastAsia="zh-CN" w:bidi="ar-SA"/>
        </w:rPr>
        <w:t xml:space="preserve">em 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4"/>
          <w:u w:val="none"/>
          <w:lang w:val="cs-CZ" w:eastAsia="zh-CN" w:bidi="ar-SA"/>
        </w:rPr>
        <w:t>(na volný port switche)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4"/>
          <w:u w:val="none"/>
          <w:lang w:val="cs-CZ" w:eastAsia="zh-CN" w:bidi="ar-SA"/>
        </w:rPr>
        <w:t xml:space="preserve">, 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4"/>
          <w:u w:val="none"/>
          <w:lang w:val="cs-CZ" w:eastAsia="zh-CN" w:bidi="ar-SA"/>
        </w:rPr>
        <w:t>požadav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4"/>
          <w:u w:val="none"/>
          <w:lang w:val="cs-CZ" w:eastAsia="zh-CN" w:bidi="ar-SA"/>
        </w:rPr>
        <w:t>ek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4"/>
          <w:u w:val="none"/>
          <w:lang w:val="cs-CZ" w:eastAsia="zh-CN" w:bidi="ar-SA"/>
        </w:rPr>
        <w:t xml:space="preserve"> na teplo 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4"/>
          <w:u w:val="none"/>
          <w:lang w:val="cs-CZ" w:eastAsia="zh-CN" w:bidi="ar-SA"/>
        </w:rPr>
        <w:t>bude pro zapínání podávacího čerpadla předáván do regulátoru vytápění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4"/>
          <w:u w:val="none"/>
          <w:lang w:val="cs-CZ" w:eastAsia="zh-CN" w:bidi="ar-SA"/>
        </w:rPr>
        <w:t xml:space="preserve"> v r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4"/>
          <w:u w:val="none"/>
          <w:lang w:val="cs-CZ" w:eastAsia="zh-CN" w:bidi="ar-SA"/>
        </w:rPr>
        <w:t>ozvaděč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4"/>
          <w:u w:val="none"/>
          <w:lang w:val="cs-CZ" w:eastAsia="zh-CN" w:bidi="ar-SA"/>
        </w:rPr>
        <w:t>i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pacing w:val="0"/>
          <w:sz w:val="24"/>
          <w:szCs w:val="24"/>
          <w:u w:val="none"/>
          <w:lang w:val="cs-CZ" w:eastAsia="zh-CN" w:bidi="ar-SA"/>
        </w:rPr>
        <w:t xml:space="preserve"> MaR1.</w:t>
      </w:r>
    </w:p>
    <w:p>
      <w:pPr>
        <w:pStyle w:val="Normal"/>
        <w:spacing w:lineRule="atLeast" w:line="0" w:before="57" w:after="57"/>
        <w:ind w:hanging="0" w:start="0" w:end="0"/>
        <w:jc w:val="both"/>
        <w:rPr>
          <w:rFonts w:ascii="Times New Roman" w:hAnsi="Times New Roman" w:eastAsia="Times New Roman" w:cs="Times New Roman"/>
          <w:b/>
          <w:bCs/>
          <w:color w:val="auto"/>
          <w:spacing w:val="0"/>
          <w:kern w:val="0"/>
          <w:sz w:val="24"/>
          <w:szCs w:val="20"/>
          <w:u w:val="none"/>
          <w:lang w:val="cs-CZ" w:eastAsia="zh-CN"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spacing w:val="0"/>
          <w:kern w:val="0"/>
          <w:sz w:val="24"/>
          <w:szCs w:val="20"/>
          <w:u w:val="none"/>
          <w:lang w:val="cs-CZ" w:eastAsia="zh-CN" w:bidi="ar-SA"/>
        </w:rPr>
        <w:t>N</w:t>
      </w:r>
      <w:r>
        <w:rPr>
          <w:rFonts w:eastAsia="Times New Roman" w:cs="Times New Roman" w:ascii="Times New Roman" w:hAnsi="Times New Roman"/>
          <w:b/>
          <w:bCs/>
          <w:color w:val="auto"/>
          <w:spacing w:val="0"/>
          <w:kern w:val="0"/>
          <w:sz w:val="24"/>
          <w:szCs w:val="20"/>
          <w:u w:val="none"/>
          <w:lang w:val="cs-CZ" w:eastAsia="zh-CN" w:bidi="ar-SA"/>
        </w:rPr>
        <w:t xml:space="preserve">apájení </w:t>
      </w:r>
      <w:r>
        <w:rPr>
          <w:rFonts w:eastAsia="Times New Roman" w:cs="Times New Roman" w:ascii="Times New Roman" w:hAnsi="Times New Roman"/>
          <w:b/>
          <w:bCs/>
          <w:color w:val="auto"/>
          <w:spacing w:val="0"/>
          <w:kern w:val="0"/>
          <w:sz w:val="24"/>
          <w:szCs w:val="20"/>
          <w:u w:val="none"/>
          <w:lang w:val="cs-CZ" w:eastAsia="zh-CN" w:bidi="ar-SA"/>
        </w:rPr>
        <w:t xml:space="preserve">VZT </w:t>
      </w:r>
      <w:r>
        <w:rPr>
          <w:rFonts w:eastAsia="Times New Roman" w:cs="Times New Roman" w:ascii="Times New Roman" w:hAnsi="Times New Roman"/>
          <w:b/>
          <w:bCs/>
          <w:color w:val="auto"/>
          <w:spacing w:val="0"/>
          <w:kern w:val="0"/>
          <w:sz w:val="24"/>
          <w:szCs w:val="20"/>
          <w:u w:val="none"/>
          <w:lang w:val="cs-CZ" w:eastAsia="zh-CN" w:bidi="ar-SA"/>
        </w:rPr>
        <w:t>jednotk</w:t>
      </w:r>
      <w:r>
        <w:rPr>
          <w:rFonts w:eastAsia="Times New Roman" w:cs="Times New Roman" w:ascii="Times New Roman" w:hAnsi="Times New Roman"/>
          <w:b/>
          <w:bCs/>
          <w:color w:val="auto"/>
          <w:spacing w:val="0"/>
          <w:kern w:val="0"/>
          <w:sz w:val="24"/>
          <w:szCs w:val="20"/>
          <w:u w:val="none"/>
          <w:lang w:val="cs-CZ" w:eastAsia="zh-CN" w:bidi="ar-SA"/>
        </w:rPr>
        <w:t>y</w:t>
      </w:r>
      <w:r>
        <w:rPr>
          <w:rFonts w:eastAsia="Times New Roman" w:cs="Times New Roman" w:ascii="Times New Roman" w:hAnsi="Times New Roman"/>
          <w:b/>
          <w:bCs/>
          <w:color w:val="auto"/>
          <w:spacing w:val="0"/>
          <w:kern w:val="0"/>
          <w:sz w:val="24"/>
          <w:szCs w:val="20"/>
          <w:u w:val="none"/>
          <w:lang w:val="cs-CZ" w:eastAsia="zh-CN" w:bidi="ar-SA"/>
        </w:rPr>
        <w:t xml:space="preserve">, </w:t>
      </w:r>
      <w:r>
        <w:rPr>
          <w:rFonts w:eastAsia="Times New Roman" w:cs="Times New Roman" w:ascii="Times New Roman" w:hAnsi="Times New Roman"/>
          <w:b/>
          <w:bCs/>
          <w:color w:val="auto"/>
          <w:spacing w:val="0"/>
          <w:kern w:val="0"/>
          <w:sz w:val="24"/>
          <w:szCs w:val="20"/>
          <w:u w:val="none"/>
          <w:lang w:val="cs-CZ" w:eastAsia="zh-CN" w:bidi="ar-SA"/>
        </w:rPr>
        <w:t>DX</w:t>
      </w:r>
      <w:r>
        <w:rPr>
          <w:rFonts w:eastAsia="Times New Roman" w:cs="Times New Roman" w:ascii="Times New Roman" w:hAnsi="Times New Roman"/>
          <w:b/>
          <w:bCs/>
          <w:color w:val="auto"/>
          <w:spacing w:val="0"/>
          <w:kern w:val="0"/>
          <w:sz w:val="24"/>
          <w:szCs w:val="20"/>
          <w:u w:val="none"/>
          <w:lang w:val="cs-CZ" w:eastAsia="zh-CN" w:bidi="ar-SA"/>
        </w:rPr>
        <w:t>box</w:t>
      </w:r>
      <w:r>
        <w:rPr>
          <w:rFonts w:eastAsia="Times New Roman" w:cs="Times New Roman" w:ascii="Times New Roman" w:hAnsi="Times New Roman"/>
          <w:b/>
          <w:bCs/>
          <w:color w:val="auto"/>
          <w:spacing w:val="0"/>
          <w:kern w:val="0"/>
          <w:sz w:val="24"/>
          <w:szCs w:val="20"/>
          <w:u w:val="none"/>
          <w:lang w:val="cs-CZ" w:eastAsia="zh-CN" w:bidi="ar-SA"/>
        </w:rPr>
        <w:t>u</w:t>
      </w:r>
      <w:r>
        <w:rPr>
          <w:rFonts w:eastAsia="Times New Roman" w:cs="Times New Roman" w:ascii="Times New Roman" w:hAnsi="Times New Roman"/>
          <w:b/>
          <w:bCs/>
          <w:color w:val="auto"/>
          <w:spacing w:val="0"/>
          <w:kern w:val="0"/>
          <w:sz w:val="24"/>
          <w:szCs w:val="20"/>
          <w:u w:val="none"/>
          <w:lang w:val="cs-CZ" w:eastAsia="zh-CN" w:bidi="ar-SA"/>
        </w:rPr>
        <w:t xml:space="preserve">  </w:t>
      </w:r>
      <w:r>
        <w:rPr>
          <w:rFonts w:eastAsia="Times New Roman" w:cs="Times New Roman" w:ascii="Times New Roman" w:hAnsi="Times New Roman"/>
          <w:b/>
          <w:bCs/>
          <w:color w:val="auto"/>
          <w:spacing w:val="0"/>
          <w:kern w:val="0"/>
          <w:sz w:val="24"/>
          <w:szCs w:val="20"/>
          <w:u w:val="none"/>
          <w:lang w:val="cs-CZ" w:eastAsia="zh-CN" w:bidi="ar-SA"/>
        </w:rPr>
        <w:t xml:space="preserve">a </w:t>
      </w:r>
      <w:r>
        <w:rPr>
          <w:rFonts w:eastAsia="Times New Roman" w:cs="Times New Roman" w:ascii="Times New Roman" w:hAnsi="Times New Roman"/>
          <w:b/>
          <w:bCs/>
          <w:color w:val="auto"/>
          <w:spacing w:val="0"/>
          <w:kern w:val="0"/>
          <w:sz w:val="24"/>
          <w:szCs w:val="20"/>
          <w:u w:val="none"/>
          <w:lang w:val="cs-CZ" w:eastAsia="zh-CN" w:bidi="ar-SA"/>
        </w:rPr>
        <w:t xml:space="preserve">venkovní </w:t>
      </w:r>
      <w:r>
        <w:rPr>
          <w:rFonts w:eastAsia="Times New Roman" w:cs="Times New Roman" w:ascii="Times New Roman" w:hAnsi="Times New Roman"/>
          <w:b/>
          <w:bCs/>
          <w:color w:val="auto"/>
          <w:spacing w:val="0"/>
          <w:kern w:val="0"/>
          <w:sz w:val="24"/>
          <w:szCs w:val="20"/>
          <w:u w:val="none"/>
          <w:lang w:val="cs-CZ" w:eastAsia="zh-CN" w:bidi="ar-SA"/>
        </w:rPr>
        <w:t xml:space="preserve">kondenzační </w:t>
      </w:r>
      <w:r>
        <w:rPr>
          <w:rFonts w:eastAsia="Times New Roman" w:cs="Times New Roman" w:ascii="Times New Roman" w:hAnsi="Times New Roman"/>
          <w:b/>
          <w:bCs/>
          <w:color w:val="auto"/>
          <w:spacing w:val="0"/>
          <w:kern w:val="0"/>
          <w:sz w:val="24"/>
          <w:szCs w:val="20"/>
          <w:u w:val="none"/>
          <w:lang w:val="cs-CZ" w:eastAsia="zh-CN" w:bidi="ar-SA"/>
        </w:rPr>
        <w:t>jednot</w:t>
      </w:r>
      <w:r>
        <w:rPr>
          <w:rFonts w:eastAsia="Times New Roman" w:cs="Times New Roman" w:ascii="Times New Roman" w:hAnsi="Times New Roman"/>
          <w:b/>
          <w:bCs/>
          <w:color w:val="auto"/>
          <w:spacing w:val="0"/>
          <w:kern w:val="0"/>
          <w:sz w:val="24"/>
          <w:szCs w:val="20"/>
          <w:u w:val="none"/>
          <w:lang w:val="cs-CZ" w:eastAsia="zh-CN" w:bidi="ar-SA"/>
        </w:rPr>
        <w:t>k</w:t>
      </w:r>
      <w:r>
        <w:rPr>
          <w:rFonts w:eastAsia="Times New Roman" w:cs="Times New Roman" w:ascii="Times New Roman" w:hAnsi="Times New Roman"/>
          <w:b/>
          <w:bCs/>
          <w:color w:val="auto"/>
          <w:spacing w:val="0"/>
          <w:kern w:val="0"/>
          <w:sz w:val="24"/>
          <w:szCs w:val="20"/>
          <w:u w:val="none"/>
          <w:lang w:val="cs-CZ" w:eastAsia="zh-CN" w:bidi="ar-SA"/>
        </w:rPr>
        <w:t>y</w:t>
      </w:r>
      <w:r>
        <w:rPr>
          <w:rFonts w:eastAsia="Times New Roman" w:cs="Times New Roman" w:ascii="Times New Roman" w:hAnsi="Times New Roman"/>
          <w:b/>
          <w:bCs/>
          <w:color w:val="auto"/>
          <w:spacing w:val="0"/>
          <w:kern w:val="0"/>
          <w:sz w:val="24"/>
          <w:szCs w:val="20"/>
          <w:u w:val="none"/>
          <w:lang w:val="cs-CZ" w:eastAsia="zh-CN" w:bidi="ar-SA"/>
        </w:rPr>
        <w:t xml:space="preserve"> chlazení</w:t>
      </w:r>
      <w:r>
        <w:rPr>
          <w:rFonts w:eastAsia="Times New Roman" w:cs="Times New Roman" w:ascii="Times New Roman" w:hAnsi="Times New Roman"/>
          <w:b/>
          <w:bCs/>
          <w:color w:val="auto"/>
          <w:spacing w:val="0"/>
          <w:kern w:val="0"/>
          <w:sz w:val="24"/>
          <w:szCs w:val="20"/>
          <w:u w:val="none"/>
          <w:lang w:val="cs-CZ" w:eastAsia="zh-CN" w:bidi="ar-SA"/>
        </w:rPr>
        <w:t xml:space="preserve"> zajistí elektro.</w:t>
      </w:r>
    </w:p>
    <w:p>
      <w:pPr>
        <w:pStyle w:val="Normal"/>
        <w:spacing w:lineRule="atLeast" w:line="0" w:before="57" w:after="57"/>
        <w:ind w:hanging="0" w:start="0" w:end="0"/>
        <w:jc w:val="both"/>
        <w:rPr>
          <w:rFonts w:ascii="Times New Roman" w:hAnsi="Times New Roman" w:eastAsia="Times New Roman" w:cs="Times New Roman"/>
          <w:b/>
          <w:bCs/>
          <w:color w:val="auto"/>
          <w:spacing w:val="0"/>
          <w:kern w:val="0"/>
          <w:sz w:val="24"/>
          <w:szCs w:val="20"/>
          <w:u w:val="none"/>
          <w:lang w:val="cs-CZ" w:eastAsia="zh-CN"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spacing w:val="0"/>
          <w:kern w:val="0"/>
          <w:sz w:val="24"/>
          <w:szCs w:val="20"/>
          <w:u w:val="none"/>
          <w:lang w:val="cs-CZ" w:eastAsia="zh-CN" w:bidi="ar-SA"/>
        </w:rPr>
        <w:t>MaR dle požadavků zvoleného dodavatele VZT zajistí připojení všech externích prvků (čidla, pohony, čerpadlo, ovladač DXkitu a jeho propojení s venkovní jednotkou chlazení) mimo vlastní VZT jednotku.</w:t>
      </w:r>
    </w:p>
    <w:p>
      <w:pPr>
        <w:pStyle w:val="Normal"/>
        <w:spacing w:lineRule="atLeast" w:line="0" w:before="0" w:after="57"/>
        <w:ind w:hanging="0" w:start="0" w:end="0"/>
        <w:jc w:val="both"/>
        <w:rPr>
          <w:rFonts w:ascii="Times New Roman" w:hAnsi="Times New Roman" w:eastAsia="Times New Roman" w:cs="Times New Roman"/>
          <w:b/>
          <w:bCs/>
          <w:color w:val="auto"/>
          <w:spacing w:val="0"/>
          <w:sz w:val="24"/>
          <w:szCs w:val="24"/>
          <w:u w:val="none"/>
          <w:lang w:val="cs-CZ" w:eastAsia="zh-CN"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spacing w:val="0"/>
          <w:sz w:val="24"/>
          <w:szCs w:val="24"/>
          <w:u w:val="none"/>
          <w:lang w:val="cs-CZ" w:eastAsia="zh-CN" w:bidi="ar-SA"/>
        </w:rPr>
        <w:t xml:space="preserve">Dodavatel VZT musí poskytnout veškeré datové podklady (adresaci proměnných modbus) pro integraci do nadřazeného systému. </w:t>
      </w:r>
    </w:p>
    <w:p>
      <w:pPr>
        <w:pStyle w:val="Heading1"/>
        <w:shd w:fill="CCCCCC" w:val="clear"/>
        <w:ind w:hanging="357" w:start="357" w:end="0"/>
        <w:rPr/>
      </w:pPr>
      <w:bookmarkStart w:id="7" w:name="__RefHeading___Toc446495703"/>
      <w:bookmarkEnd w:id="7"/>
      <w:r>
        <w:rPr/>
        <w:t>bilance energií, médií a potřebných hmot</w:t>
      </w:r>
    </w:p>
    <w:p>
      <w:pPr>
        <w:pStyle w:val="BodyText"/>
        <w:rPr>
          <w:sz w:val="24"/>
        </w:rPr>
      </w:pPr>
      <w:r>
        <w:rPr>
          <w:sz w:val="24"/>
        </w:rPr>
        <w:t>Nové z</w:t>
      </w:r>
      <w:r>
        <w:rPr>
          <w:sz w:val="24"/>
        </w:rPr>
        <w:t>ařízen</w:t>
      </w:r>
      <w:r>
        <w:rPr>
          <w:sz w:val="24"/>
        </w:rPr>
        <w:t xml:space="preserve">í </w:t>
      </w:r>
      <w:r>
        <w:rPr>
          <w:sz w:val="24"/>
        </w:rPr>
        <w:t>bud</w:t>
      </w:r>
      <w:r>
        <w:rPr>
          <w:sz w:val="24"/>
        </w:rPr>
        <w:t>ou</w:t>
      </w:r>
      <w:r>
        <w:rPr>
          <w:sz w:val="24"/>
        </w:rPr>
        <w:t xml:space="preserve"> napájen</w:t>
      </w:r>
      <w:r>
        <w:rPr>
          <w:sz w:val="24"/>
        </w:rPr>
        <w:t>a</w:t>
      </w:r>
      <w:r>
        <w:rPr>
          <w:sz w:val="24"/>
        </w:rPr>
        <w:t xml:space="preserve"> z energetické sítě 3L-PE+N TN-C-S 400/230V.  </w:t>
      </w:r>
    </w:p>
    <w:p>
      <w:pPr>
        <w:pStyle w:val="BodyText"/>
        <w:spacing w:lineRule="atLeast" w:line="11" w:before="57" w:after="57"/>
        <w:ind w:hanging="0" w:start="283" w:end="0"/>
        <w:jc w:val="both"/>
        <w:rPr/>
      </w:pPr>
      <w:r>
        <w:rPr>
          <w:sz w:val="24"/>
        </w:rPr>
        <w:t>VZT -</w:t>
      </w:r>
      <w:r>
        <w:rPr>
          <w:sz w:val="24"/>
        </w:rPr>
        <w:t>RA-</w:t>
      </w:r>
      <w:r>
        <w:rPr>
          <w:rFonts w:eastAsia="Times New Roman" w:cs="Times New Roman"/>
          <w:color w:val="auto"/>
          <w:sz w:val="24"/>
          <w:szCs w:val="20"/>
          <w:lang w:val="cs-CZ" w:eastAsia="zh-CN" w:bidi="ar-SA"/>
        </w:rPr>
        <w:t>VZ</w:t>
      </w:r>
      <w:r>
        <w:rPr>
          <w:rFonts w:eastAsia="Times New Roman" w:cs="Times New Roman"/>
          <w:color w:val="auto"/>
          <w:sz w:val="24"/>
          <w:szCs w:val="20"/>
          <w:lang w:val="cs-CZ" w:eastAsia="zh-CN" w:bidi="ar-SA"/>
        </w:rPr>
        <w:t>9</w:t>
      </w:r>
      <w:r>
        <w:rPr>
          <w:sz w:val="24"/>
        </w:rPr>
        <w:t xml:space="preserve">  400V/50Hz 1</w:t>
      </w:r>
      <w:r>
        <w:rPr>
          <w:sz w:val="24"/>
        </w:rPr>
        <w:t>3</w:t>
      </w:r>
      <w:r>
        <w:rPr>
          <w:sz w:val="24"/>
        </w:rPr>
        <w:t xml:space="preserve">A/C </w:t>
      </w:r>
    </w:p>
    <w:p>
      <w:pPr>
        <w:pStyle w:val="BodyText"/>
        <w:spacing w:lineRule="atLeast" w:line="11" w:before="57" w:after="57"/>
        <w:ind w:hanging="0" w:start="283" w:end="0"/>
        <w:jc w:val="both"/>
        <w:rPr>
          <w:sz w:val="24"/>
        </w:rPr>
      </w:pPr>
      <w:r>
        <w:rPr>
          <w:sz w:val="24"/>
        </w:rPr>
        <w:t>DXkit</w:t>
      </w:r>
      <w:r>
        <w:rPr>
          <w:sz w:val="24"/>
        </w:rPr>
        <w:t xml:space="preserve"> 230V/10A</w:t>
      </w:r>
    </w:p>
    <w:p>
      <w:pPr>
        <w:pStyle w:val="BodyText"/>
        <w:spacing w:lineRule="atLeast" w:line="11" w:before="57" w:after="57"/>
        <w:ind w:hanging="0" w:start="283" w:end="0"/>
        <w:jc w:val="both"/>
        <w:rPr>
          <w:sz w:val="24"/>
          <w:szCs w:val="24"/>
        </w:rPr>
      </w:pPr>
      <w:r>
        <w:rPr>
          <w:rFonts w:eastAsia="Times New Roman" w:cs="Times New Roman"/>
          <w:color w:val="auto"/>
          <w:sz w:val="24"/>
          <w:szCs w:val="24"/>
          <w:lang w:val="cs-CZ" w:eastAsia="zh-CN" w:bidi="ar-SA"/>
        </w:rPr>
        <w:t>Venkovní kondenzační jed</w:t>
      </w:r>
      <w:r>
        <w:rPr>
          <w:rFonts w:eastAsia="Times New Roman" w:cs="Times New Roman"/>
          <w:color w:val="auto"/>
          <w:sz w:val="24"/>
          <w:szCs w:val="24"/>
          <w:lang w:val="cs-CZ" w:eastAsia="zh-CN" w:bidi="ar-SA"/>
        </w:rPr>
        <w:t>n</w:t>
      </w:r>
      <w:r>
        <w:rPr>
          <w:rFonts w:eastAsia="Times New Roman" w:cs="Times New Roman"/>
          <w:color w:val="auto"/>
          <w:sz w:val="24"/>
          <w:szCs w:val="24"/>
          <w:lang w:val="cs-CZ" w:eastAsia="zh-CN" w:bidi="ar-SA"/>
        </w:rPr>
        <w:t>otka</w:t>
      </w:r>
      <w:r>
        <w:rPr>
          <w:sz w:val="24"/>
          <w:szCs w:val="24"/>
        </w:rPr>
        <w:t xml:space="preserve">  400V/50Hz </w:t>
      </w:r>
      <w:r>
        <w:rPr>
          <w:sz w:val="24"/>
          <w:szCs w:val="24"/>
        </w:rPr>
        <w:t>16</w:t>
      </w:r>
      <w:r>
        <w:rPr>
          <w:sz w:val="24"/>
          <w:szCs w:val="24"/>
        </w:rPr>
        <w:t xml:space="preserve">A/C </w:t>
      </w:r>
    </w:p>
    <w:p>
      <w:pPr>
        <w:pStyle w:val="BodyText"/>
        <w:rPr>
          <w:sz w:val="24"/>
        </w:rPr>
      </w:pPr>
      <w:r>
        <w:rPr>
          <w:sz w:val="24"/>
        </w:rPr>
        <w:t>N</w:t>
      </w:r>
      <w:r>
        <w:rPr>
          <w:sz w:val="24"/>
        </w:rPr>
        <w:t xml:space="preserve">apájení </w:t>
      </w:r>
      <w:r>
        <w:rPr>
          <w:sz w:val="24"/>
        </w:rPr>
        <w:t>stávajících rozvaděčů MaR se nemění.</w:t>
      </w:r>
    </w:p>
    <w:p>
      <w:pPr>
        <w:pStyle w:val="Heading1"/>
        <w:shd w:fill="CCCCCC" w:val="clear"/>
        <w:ind w:hanging="357" w:start="357" w:end="0"/>
        <w:rPr/>
      </w:pPr>
      <w:bookmarkStart w:id="8" w:name="__RefHeading___Toc24_1102803605"/>
      <w:bookmarkEnd w:id="8"/>
      <w:r>
        <w:rPr/>
        <w:t>zásady ochrany zdraví, bezpečnosti práce při provozu zařízení</w:t>
      </w:r>
    </w:p>
    <w:p>
      <w:pPr>
        <w:pStyle w:val="Heading6"/>
        <w:spacing w:lineRule="atLeast" w:line="238" w:before="113" w:after="57"/>
        <w:ind w:hanging="0" w:start="0" w:end="0"/>
        <w:rPr>
          <w:rFonts w:ascii="Arial" w:hAnsi="Arial" w:cs="Arial"/>
        </w:rPr>
      </w:pPr>
      <w:r>
        <w:rPr>
          <w:rFonts w:cs="Arial" w:ascii="Arial" w:hAnsi="Arial"/>
        </w:rPr>
        <w:t>VNĚJŠÍ VLIVY</w:t>
      </w:r>
    </w:p>
    <w:p>
      <w:pPr>
        <w:pStyle w:val="Normal"/>
        <w:spacing w:before="57" w:after="0"/>
        <w:jc w:val="both"/>
        <w:rPr>
          <w:rFonts w:ascii="Times New Roman" w:hAnsi="Times New Roman"/>
          <w:b w:val="false"/>
          <w:bCs w:val="false"/>
          <w:color w:themeColor="dark1" w:val="000000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color w:themeColor="dark1" w:val="000000"/>
          <w:sz w:val="24"/>
          <w:szCs w:val="24"/>
        </w:rPr>
        <w:t xml:space="preserve">Klasifikace vnějších vlivů </w:t>
      </w:r>
      <w:r>
        <w:rPr>
          <w:rFonts w:cs="Times New Roman" w:ascii="Times New Roman" w:hAnsi="Times New Roman"/>
          <w:b w:val="false"/>
          <w:bCs w:val="false"/>
          <w:color w:themeColor="dark1" w:val="000000"/>
          <w:sz w:val="24"/>
          <w:szCs w:val="24"/>
        </w:rPr>
        <w:t xml:space="preserve">je </w:t>
      </w:r>
      <w:r>
        <w:rPr>
          <w:rFonts w:cs="Times New Roman" w:ascii="Times New Roman" w:hAnsi="Times New Roman"/>
          <w:b w:val="false"/>
          <w:bCs w:val="false"/>
          <w:color w:themeColor="dark1" w:val="000000"/>
          <w:sz w:val="24"/>
          <w:szCs w:val="24"/>
        </w:rPr>
        <w:t xml:space="preserve">dle </w:t>
      </w:r>
      <w:r>
        <w:rPr>
          <w:rFonts w:cs="Times New Roman" w:ascii="Times New Roman" w:hAnsi="Times New Roman"/>
          <w:b/>
          <w:bCs/>
          <w:color w:themeColor="dark1" w:val="000000"/>
          <w:sz w:val="24"/>
          <w:szCs w:val="24"/>
        </w:rPr>
        <w:t>ČSN 33 2000-5-51 ed. 3+Z1+Z2.</w:t>
      </w:r>
    </w:p>
    <w:p>
      <w:pPr>
        <w:pStyle w:val="Normal"/>
        <w:spacing w:before="57" w:after="0"/>
        <w:jc w:val="both"/>
        <w:rPr>
          <w:rFonts w:ascii="Times New Roman" w:hAnsi="Times New Roman"/>
          <w:b w:val="false"/>
          <w:bCs w:val="false"/>
          <w:color w:themeColor="dark1" w:val="000000"/>
          <w:sz w:val="24"/>
          <w:szCs w:val="24"/>
        </w:rPr>
      </w:pPr>
      <w:r>
        <w:rPr>
          <w:rFonts w:ascii="Times New Roman" w:hAnsi="Times New Roman"/>
          <w:b w:val="false"/>
          <w:bCs w:val="false"/>
          <w:color w:themeColor="dark1" w:val="000000"/>
          <w:sz w:val="24"/>
          <w:szCs w:val="24"/>
        </w:rPr>
        <w:t>Vnější vlivy (posouzení vnějších vlivů, protokol o určení vnějších vlivů) musí být součástí průvodní dokumentace pro provedení revize vyhrazeného elektrického zařízení.</w:t>
      </w:r>
    </w:p>
    <w:p>
      <w:pPr>
        <w:pStyle w:val="Normal"/>
        <w:spacing w:before="57" w:after="0"/>
        <w:jc w:val="both"/>
        <w:rPr>
          <w:rFonts w:ascii="Times New Roman" w:hAnsi="Times New Roman"/>
          <w:b w:val="false"/>
          <w:bCs w:val="false"/>
          <w:color w:val="FF0000"/>
          <w:sz w:val="24"/>
          <w:szCs w:val="24"/>
        </w:rPr>
      </w:pP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>Protokol o určení vnějších vlivů je základní dokument pro přípravu projektové dokumentace, který zachycuje možná rizika a z nich vyplývající skutečnosti a zásadní technické požadavky na elektrickou instalaci</w:t>
      </w:r>
      <w:r>
        <w:rPr>
          <w:rFonts w:ascii="Times New Roman" w:hAnsi="Times New Roman"/>
          <w:b w:val="false"/>
          <w:bCs w:val="false"/>
          <w:color w:val="FF0000"/>
          <w:sz w:val="24"/>
          <w:szCs w:val="24"/>
        </w:rPr>
        <w:t xml:space="preserve">. </w:t>
      </w:r>
    </w:p>
    <w:p>
      <w:pPr>
        <w:pStyle w:val="Normal"/>
        <w:spacing w:before="57" w:after="0"/>
        <w:jc w:val="both"/>
        <w:rPr>
          <w:rFonts w:ascii="Times New Roman" w:hAnsi="Times New Roman"/>
          <w:b w:val="false"/>
          <w:bCs w:val="false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Protokol o určení vnějších vlivů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byl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vypracován samostatně,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viz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příloha této projektové dokumentace.</w:t>
      </w:r>
    </w:p>
    <w:p>
      <w:pPr>
        <w:pStyle w:val="BodyText"/>
        <w:spacing w:lineRule="atLeast" w:line="240" w:before="170" w:after="57"/>
        <w:jc w:val="both"/>
        <w:rPr>
          <w:rFonts w:ascii="Arial" w:hAnsi="Arial" w:cs="Arial"/>
          <w:b/>
          <w:bCs/>
          <w:iCs/>
          <w:sz w:val="24"/>
        </w:rPr>
      </w:pPr>
      <w:r>
        <w:rPr>
          <w:rFonts w:cs="Arial" w:ascii="Arial" w:hAnsi="Arial"/>
          <w:b/>
          <w:bCs/>
          <w:iCs/>
          <w:sz w:val="24"/>
        </w:rPr>
        <w:t>ENERGETICKÁ SÍŤ</w:t>
      </w:r>
    </w:p>
    <w:p>
      <w:pPr>
        <w:pStyle w:val="BodyText"/>
        <w:spacing w:lineRule="atLeast" w:line="240" w:before="57" w:after="57"/>
        <w:jc w:val="both"/>
        <w:rPr>
          <w:sz w:val="24"/>
        </w:rPr>
      </w:pPr>
      <w:r>
        <w:rPr>
          <w:sz w:val="24"/>
        </w:rPr>
        <w:t>Zařízení MaR budou napájena z energetické sítě TN-C-S 3L+PE+N 400V, 50 Hz</w:t>
      </w:r>
    </w:p>
    <w:p>
      <w:pPr>
        <w:pStyle w:val="Heading5"/>
        <w:spacing w:lineRule="atLeast" w:line="240" w:before="170" w:after="57"/>
        <w:jc w:val="both"/>
        <w:rPr/>
      </w:pPr>
      <w:r>
        <w:rPr/>
        <w:t>ZPŮSOB OCHRANY</w:t>
      </w:r>
    </w:p>
    <w:p>
      <w:pPr>
        <w:pStyle w:val="Normal"/>
        <w:spacing w:lineRule="atLeast" w:line="240" w:before="57" w:after="0"/>
        <w:jc w:val="both"/>
        <w:rPr>
          <w:color w:val="000000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u w:val="none"/>
        </w:rPr>
        <w:t xml:space="preserve">Ochrana před úrazem elektrickým proudem bude provedena dle normy ČSN 33 2000-4-41 ed. 3 a dle </w:t>
      </w: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kern w:val="0"/>
          <w:sz w:val="24"/>
          <w:szCs w:val="24"/>
          <w:u w:val="none"/>
          <w:lang w:eastAsia="cs-CZ"/>
        </w:rPr>
        <w:t>ČSN EN 61140 ed.3</w:t>
      </w:r>
    </w:p>
    <w:p>
      <w:pPr>
        <w:pStyle w:val="Normal"/>
        <w:spacing w:lineRule="atLeast" w:line="240" w:before="57" w:after="0"/>
        <w:jc w:val="both"/>
        <w:rPr/>
      </w:pPr>
      <w:r>
        <w:rPr>
          <w:rFonts w:cs="Times New Roman" w:ascii="Times New Roman" w:hAnsi="Times New Roman"/>
          <w:sz w:val="24"/>
        </w:rPr>
        <w:t>Ochrana před nebezpečným dotykem neživých částí ČSN 33 2000-4-41 ed.</w:t>
      </w:r>
      <w:r>
        <w:rPr>
          <w:rFonts w:cs="Times New Roman" w:ascii="Times New Roman" w:hAnsi="Times New Roman"/>
          <w:sz w:val="24"/>
        </w:rPr>
        <w:t>3</w:t>
      </w:r>
      <w:r>
        <w:rPr>
          <w:rFonts w:cs="Times New Roman" w:ascii="Times New Roman" w:hAnsi="Times New Roman"/>
          <w:sz w:val="24"/>
        </w:rPr>
        <w:t>:</w:t>
      </w:r>
    </w:p>
    <w:p>
      <w:pPr>
        <w:pStyle w:val="Normal"/>
        <w:spacing w:before="57" w:after="57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 xml:space="preserve">čl. 411 -Ochranné opatření: automatické odpojení od zdroje </w:t>
      </w:r>
    </w:p>
    <w:p>
      <w:pPr>
        <w:pStyle w:val="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 xml:space="preserve">základní ochrana (před dotykem živých částí) je zajištěna základní izolací živých částí nebo přepážkami nebo kryty </w:t>
      </w:r>
      <w:r>
        <w:rPr>
          <w:rFonts w:cs="Times New Roman" w:ascii="Times New Roman" w:hAnsi="Times New Roman"/>
          <w:sz w:val="24"/>
        </w:rPr>
        <w:t>dle článku 5.5.2 ČSN EN 61140 ed.3</w:t>
      </w:r>
    </w:p>
    <w:p>
      <w:pPr>
        <w:pStyle w:val="Normal"/>
        <w:numPr>
          <w:ilvl w:val="0"/>
          <w:numId w:val="3"/>
        </w:numPr>
        <w:spacing w:before="57" w:after="0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>ochrana při poruše (před dotykem neživých částí) je zajištěna ochranným pospojováním a automatickým odpojením od zdroje v případě poruchy souladu s 411.3 až 411.6</w:t>
      </w:r>
    </w:p>
    <w:p>
      <w:pPr>
        <w:pStyle w:val="Normal"/>
        <w:spacing w:before="57" w:after="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sz w:val="24"/>
          <w:szCs w:val="24"/>
        </w:rPr>
        <w:t xml:space="preserve">V sítí 24VAC </w:t>
      </w:r>
      <w:r>
        <w:rPr>
          <w:rFonts w:eastAsia="Times New Roman" w:cs="Times New Roman" w:ascii="Times New Roman" w:hAnsi="Times New Roman"/>
          <w:color w:val="auto"/>
          <w:sz w:val="24"/>
          <w:szCs w:val="22"/>
          <w:lang w:val="cs-CZ" w:eastAsia="zh-CN" w:bidi="ar-SA"/>
        </w:rPr>
        <w:t xml:space="preserve">a </w:t>
      </w:r>
      <w:r>
        <w:rPr>
          <w:rFonts w:cs="Times New Roman" w:ascii="Times New Roman" w:hAnsi="Times New Roman"/>
          <w:sz w:val="24"/>
        </w:rPr>
        <w:t xml:space="preserve">DC </w:t>
      </w:r>
      <w:r>
        <w:rPr>
          <w:rFonts w:cs="Times New Roman" w:ascii="Times New Roman" w:hAnsi="Times New Roman"/>
          <w:sz w:val="24"/>
          <w:szCs w:val="24"/>
        </w:rPr>
        <w:t xml:space="preserve">bude uplatněno ochranné </w:t>
      </w:r>
      <w:r>
        <w:rPr>
          <w:rFonts w:cs="Times New Roman" w:ascii="Times New Roman" w:hAnsi="Times New Roman"/>
          <w:sz w:val="24"/>
        </w:rPr>
        <w:t xml:space="preserve">opatření malým napětím </w:t>
      </w:r>
      <w:r>
        <w:rPr>
          <w:rFonts w:cs="Times New Roman" w:ascii="Times New Roman" w:hAnsi="Times New Roman"/>
          <w:sz w:val="24"/>
        </w:rPr>
        <w:t>dle č. 414</w:t>
      </w:r>
      <w:r>
        <w:rPr>
          <w:rFonts w:cs="Times New Roman" w:ascii="Times New Roman" w:hAnsi="Times New Roman"/>
          <w:sz w:val="24"/>
          <w:szCs w:val="24"/>
        </w:rPr>
        <w:t xml:space="preserve">  </w:t>
      </w:r>
    </w:p>
    <w:p>
      <w:pPr>
        <w:pStyle w:val="Normal"/>
        <w:spacing w:before="57" w:after="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sz w:val="24"/>
          <w:szCs w:val="24"/>
        </w:rPr>
        <w:t>Z</w:t>
      </w:r>
      <w:r>
        <w:rPr>
          <w:rFonts w:cs="Times New Roman" w:ascii="Times New Roman" w:hAnsi="Times New Roman"/>
          <w:sz w:val="24"/>
          <w:szCs w:val="24"/>
        </w:rPr>
        <w:t>drojem sítě bud</w:t>
      </w:r>
      <w:r>
        <w:rPr>
          <w:rFonts w:cs="Times New Roman" w:ascii="Times New Roman" w:hAnsi="Times New Roman"/>
          <w:sz w:val="24"/>
          <w:szCs w:val="24"/>
        </w:rPr>
        <w:t>ou</w:t>
      </w:r>
      <w:r>
        <w:rPr>
          <w:rFonts w:cs="Times New Roman" w:ascii="Times New Roman" w:hAnsi="Times New Roman"/>
          <w:sz w:val="24"/>
          <w:szCs w:val="24"/>
        </w:rPr>
        <w:t xml:space="preserve"> bezpečnostní transformátor </w:t>
      </w:r>
      <w:r>
        <w:rPr>
          <w:rFonts w:eastAsia="Times New Roman" w:cs="Times New Roman" w:ascii="Times New Roman" w:hAnsi="Times New Roman"/>
          <w:color w:val="auto"/>
          <w:sz w:val="24"/>
          <w:szCs w:val="24"/>
          <w:lang w:val="cs-CZ" w:eastAsia="zh-CN" w:bidi="ar-SA"/>
        </w:rPr>
        <w:t>nebo (a)</w:t>
      </w:r>
      <w:r>
        <w:rPr>
          <w:rFonts w:cs="Times New Roman" w:ascii="Times New Roman" w:hAnsi="Times New Roman"/>
          <w:sz w:val="24"/>
          <w:szCs w:val="24"/>
        </w:rPr>
        <w:t xml:space="preserve"> bezpečnostní stejnosměrný spínaný zdroj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dle článku čl. 414.3.</w:t>
      </w:r>
    </w:p>
    <w:p>
      <w:pPr>
        <w:pStyle w:val="Textnormy"/>
        <w:spacing w:lineRule="atLeast" w:line="11" w:before="57" w:after="0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Jestliže se z funkčních důvodů používá napětí, které není vyšší než AC 50 V nebo DC 120 V, přičemž však nejsou splněny požadavky kapitoly 414 týkající se SELV a PELV, a pokud SELV a PELV nejsou zapotřebí, pak aby byla </w:t>
      </w:r>
      <w:r>
        <w:rPr>
          <w:rFonts w:ascii="Times New Roman" w:hAnsi="Times New Roman"/>
          <w:spacing w:val="-2"/>
          <w:sz w:val="24"/>
          <w:szCs w:val="24"/>
        </w:rPr>
        <w:t>zajištěna základní ochrana (ochrana před přímým dotykem) i ochrana při poruše (ochrana před nepřímým dotykem)</w:t>
      </w:r>
      <w:r>
        <w:rPr>
          <w:rFonts w:ascii="Times New Roman" w:hAnsi="Times New Roman"/>
          <w:sz w:val="24"/>
          <w:szCs w:val="24"/>
        </w:rPr>
        <w:t xml:space="preserve">, je nutno přijmout opatření uvedená v 411.7.2 a 411.7.3. Tento soubor opatření se označuje jako FELV </w:t>
      </w:r>
      <w:r>
        <w:rPr>
          <w:rFonts w:ascii="Times New Roman" w:hAnsi="Times New Roman"/>
          <w:sz w:val="24"/>
          <w:szCs w:val="24"/>
        </w:rPr>
        <w:t>(čl.411.7)</w:t>
      </w:r>
    </w:p>
    <w:p>
      <w:pPr>
        <w:pStyle w:val="Normal"/>
        <w:spacing w:lineRule="atLeast" w:line="240" w:before="57" w:after="5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  <w:bdr w:val="dotted" w:sz="12" w:space="1" w:color="436976"/>
          <w:shd w:fill="F7F9FA" w:val="clear"/>
        </w:rPr>
        <w:t>FELV</w:t>
      </w:r>
      <w:r>
        <w:rPr>
          <w:rFonts w:ascii="Times New Roman" w:hAnsi="Times New Roman"/>
          <w:b/>
          <w:bCs/>
          <w:caps w:val="false"/>
          <w:smallCaps w:val="false"/>
          <w:color w:val="000000"/>
          <w:spacing w:val="0"/>
          <w:sz w:val="24"/>
          <w:szCs w:val="24"/>
        </w:rPr>
        <w:t> </w:t>
      </w:r>
      <w:r>
        <w:rPr>
          <w:rFonts w:ascii="Times New Roman" w:hAnsi="Times New Roman"/>
          <w:b w:val="false"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je ochranné opatření, u něhož:</w:t>
      </w:r>
    </w:p>
    <w:p>
      <w:pPr>
        <w:pStyle w:val="BodyText"/>
        <w:numPr>
          <w:ilvl w:val="0"/>
          <w:numId w:val="0"/>
        </w:numPr>
        <w:spacing w:before="0" w:after="0"/>
        <w:ind w:hanging="0" w:start="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- základní ochrana je zajištěna </w:t>
      </w:r>
      <w:r>
        <w:rPr>
          <w:sz w:val="24"/>
          <w:szCs w:val="24"/>
        </w:rPr>
        <w:t>dle 411.7.2</w:t>
      </w:r>
      <w:r>
        <w:rPr>
          <w:sz w:val="24"/>
          <w:szCs w:val="24"/>
        </w:rPr>
        <w:t>:</w:t>
      </w:r>
    </w:p>
    <w:p>
      <w:pPr>
        <w:pStyle w:val="BodyText"/>
        <w:numPr>
          <w:ilvl w:val="0"/>
          <w:numId w:val="0"/>
        </w:numPr>
        <w:spacing w:before="57" w:after="0"/>
        <w:ind w:hanging="0" w:start="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základní izolací podle kapitoly A.1 odpovídající jmenovitému napětí vstupního (primárního) obvodu, nebo nebo přepážkami nebo kryty  v souladu s kapitolou A.2</w:t>
      </w:r>
    </w:p>
    <w:p>
      <w:pPr>
        <w:pStyle w:val="BodyText"/>
        <w:numPr>
          <w:ilvl w:val="0"/>
          <w:numId w:val="0"/>
        </w:numPr>
        <w:spacing w:before="57" w:after="0"/>
        <w:ind w:hanging="0" w:start="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- ochrana při poruše (před nepřímým dotykem) je zajištěna </w:t>
      </w:r>
      <w:r>
        <w:rPr>
          <w:sz w:val="24"/>
          <w:szCs w:val="24"/>
        </w:rPr>
        <w:t xml:space="preserve">dle 411.7.3 </w:t>
      </w:r>
      <w:r>
        <w:rPr>
          <w:sz w:val="24"/>
          <w:szCs w:val="24"/>
        </w:rPr>
        <w:t>:</w:t>
      </w:r>
    </w:p>
    <w:p>
      <w:pPr>
        <w:pStyle w:val="BodyText"/>
        <w:numPr>
          <w:ilvl w:val="0"/>
          <w:numId w:val="0"/>
        </w:numPr>
        <w:spacing w:before="57" w:after="0"/>
        <w:ind w:hanging="0" w:start="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neživé části zařízení obvodu FELV musí být spojeny s ochranným vodičem vstupního (primárního) obvodu zdroje, přičemž se předpokládá, že vstupní obvod je chráněn automatickým odpojením od zdroje, jak je uvedeno v 411.3 až 411.6.</w:t>
      </w:r>
    </w:p>
    <w:p>
      <w:pPr>
        <w:pStyle w:val="Textnormy"/>
        <w:numPr>
          <w:ilvl w:val="0"/>
          <w:numId w:val="0"/>
        </w:numPr>
        <w:spacing w:before="57" w:after="0"/>
        <w:ind w:hanging="0" w:star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Zdrojem sítě FELV musí být buď transformátor </w:t>
      </w:r>
      <w:r>
        <w:rPr>
          <w:rFonts w:ascii="Times New Roman" w:hAnsi="Times New Roman"/>
          <w:sz w:val="24"/>
          <w:szCs w:val="24"/>
        </w:rPr>
        <w:t xml:space="preserve">nebo zdroj </w:t>
      </w:r>
      <w:r>
        <w:rPr>
          <w:rFonts w:ascii="Times New Roman" w:hAnsi="Times New Roman"/>
          <w:sz w:val="24"/>
          <w:szCs w:val="24"/>
        </w:rPr>
        <w:t>alespoň s jednoduchým oddělením vinutí, nebo vyhovující 414.3.</w:t>
      </w:r>
    </w:p>
    <w:p>
      <w:pPr>
        <w:pStyle w:val="Poznmka"/>
        <w:widowControl/>
        <w:numPr>
          <w:ilvl w:val="0"/>
          <w:numId w:val="0"/>
        </w:numPr>
        <w:pBdr/>
        <w:spacing w:lineRule="atLeast" w:line="0" w:before="57" w:after="0"/>
        <w:ind w:hanging="0" w:start="0" w:end="0"/>
        <w:jc w:val="both"/>
        <w:rPr>
          <w:rFonts w:ascii="Times New Roman" w:hAnsi="Times New Roman" w:cs="Arial"/>
          <w:b w:val="false"/>
          <w:bCs/>
          <w:i/>
          <w:i/>
          <w:iCs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cs="Arial" w:ascii="Times New Roman" w:hAnsi="Times New Roman"/>
          <w:b w:val="false"/>
          <w:bCs/>
          <w:i/>
          <w:iCs/>
          <w:caps w:val="false"/>
          <w:smallCaps w:val="false"/>
          <w:color w:val="000000"/>
          <w:spacing w:val="0"/>
          <w:sz w:val="24"/>
          <w:szCs w:val="24"/>
        </w:rPr>
        <w:t>P</w:t>
      </w:r>
      <w:r>
        <w:rPr>
          <w:rFonts w:cs="Arial" w:ascii="Times New Roman" w:hAnsi="Times New Roman"/>
          <w:b w:val="false"/>
          <w:bCs/>
          <w:i/>
          <w:iCs/>
          <w:caps w:val="false"/>
          <w:smallCaps w:val="false"/>
          <w:color w:val="000000"/>
          <w:spacing w:val="0"/>
          <w:sz w:val="24"/>
          <w:szCs w:val="24"/>
        </w:rPr>
        <w:t>oznámka</w:t>
      </w:r>
      <w:r>
        <w:rPr>
          <w:rFonts w:cs="Arial" w:ascii="Times New Roman" w:hAnsi="Times New Roman"/>
          <w:b w:val="false"/>
          <w:bCs/>
          <w:i/>
          <w:iCs/>
          <w:caps w:val="false"/>
          <w:smallCaps w:val="false"/>
          <w:color w:val="000000"/>
          <w:spacing w:val="0"/>
          <w:sz w:val="24"/>
          <w:szCs w:val="24"/>
        </w:rPr>
        <w:t> </w:t>
      </w:r>
    </w:p>
    <w:p>
      <w:pPr>
        <w:pStyle w:val="Poznmka"/>
        <w:widowControl/>
        <w:numPr>
          <w:ilvl w:val="0"/>
          <w:numId w:val="0"/>
        </w:numPr>
        <w:pBdr/>
        <w:spacing w:lineRule="atLeast" w:line="0" w:before="0" w:after="0"/>
        <w:ind w:hanging="0" w:start="0" w:end="0"/>
        <w:jc w:val="both"/>
        <w:rPr>
          <w:rFonts w:ascii="Times New Roman" w:hAnsi="Times New Roman" w:cs="Arial"/>
          <w:b w:val="false"/>
          <w:bCs/>
          <w:i/>
          <w:i/>
          <w:iCs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cs="Arial" w:ascii="Times New Roman" w:hAnsi="Times New Roman"/>
          <w:b w:val="false"/>
          <w:bCs/>
          <w:i/>
          <w:iCs/>
          <w:caps w:val="false"/>
          <w:smallCaps w:val="false"/>
          <w:color w:val="000000"/>
          <w:spacing w:val="0"/>
          <w:sz w:val="24"/>
          <w:szCs w:val="24"/>
        </w:rPr>
        <w:t>Jestliže je síť napájena ze sítě vyššího napětí zařízením, které nesplňuje ani požadavky na jednoduché oddělení mezi touto sítí a sítí FELV, jako jsou autotransformátory, potenciometry, polovodičové přístroje atd., považuje se výstupní obvod za rozšíření vstupního obvodu a měl by být chráněn ochranným opatřením, které je uplatněno na vstupní obvod.</w:t>
      </w:r>
    </w:p>
    <w:p>
      <w:pPr>
        <w:pStyle w:val="Textnormy"/>
        <w:spacing w:lineRule="atLeast" w:line="0" w:before="57" w:after="0"/>
        <w:rPr>
          <w:rFonts w:ascii="Times New Roman" w:hAnsi="Times New Roman"/>
          <w:i w:val="false"/>
          <w:i w:val="false"/>
          <w:iCs w:val="false"/>
          <w:sz w:val="24"/>
          <w:szCs w:val="24"/>
        </w:rPr>
      </w:pPr>
      <w:r>
        <w:rPr>
          <w:rFonts w:ascii="Times New Roman" w:hAnsi="Times New Roman"/>
          <w:i w:val="false"/>
          <w:iCs w:val="false"/>
          <w:sz w:val="24"/>
          <w:szCs w:val="24"/>
        </w:rPr>
        <w:t>Vidlice a zásuvky pro obvody FELV musí vyhovět následujícím požadavkům:</w:t>
      </w:r>
    </w:p>
    <w:p>
      <w:pPr>
        <w:pStyle w:val="Seznamvnorm"/>
        <w:numPr>
          <w:ilvl w:val="0"/>
          <w:numId w:val="4"/>
        </w:numPr>
        <w:spacing w:before="57" w:after="0"/>
        <w:ind w:hanging="283" w:start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vidlice nesmí být možno zasunout do zásuvek sítí o jiných napětích,</w:t>
      </w:r>
    </w:p>
    <w:p>
      <w:pPr>
        <w:pStyle w:val="Seznamvnorm"/>
        <w:numPr>
          <w:ilvl w:val="0"/>
          <w:numId w:val="4"/>
        </w:numPr>
        <w:spacing w:before="0" w:after="0"/>
        <w:ind w:hanging="283" w:start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 zásuvek FELV nesmí být možno zasunout vidlice sítí o jiných napětích a</w:t>
      </w:r>
    </w:p>
    <w:p>
      <w:pPr>
        <w:pStyle w:val="Seznamvnorm"/>
        <w:numPr>
          <w:ilvl w:val="0"/>
          <w:numId w:val="4"/>
        </w:numPr>
        <w:spacing w:before="0" w:after="0"/>
        <w:ind w:hanging="283" w:start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zásuvky musí mít ochranný kontakt.</w:t>
      </w:r>
    </w:p>
    <w:p>
      <w:pPr>
        <w:pStyle w:val="Normal"/>
        <w:spacing w:before="113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PELV</w:t>
      </w:r>
      <w:r>
        <w:rPr>
          <w:rFonts w:ascii="Times New Roman" w:hAnsi="Times New Roman"/>
          <w:sz w:val="24"/>
          <w:szCs w:val="24"/>
        </w:rPr>
        <w:t xml:space="preserve"> je ochranné opatření, při němž je ochrana zajištěna:</w:t>
      </w:r>
    </w:p>
    <w:p>
      <w:pPr>
        <w:pStyle w:val="BodyText"/>
        <w:widowControl/>
        <w:numPr>
          <w:ilvl w:val="0"/>
          <w:numId w:val="0"/>
        </w:numPr>
        <w:suppressAutoHyphens w:val="false"/>
        <w:overflowPunct w:val="false"/>
        <w:autoSpaceDE w:val="false"/>
        <w:bidi w:val="0"/>
        <w:spacing w:before="0" w:after="120"/>
        <w:ind w:hanging="0" w:start="624" w:end="0"/>
        <w:textAlignment w:val="baseline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- omezením napětí v obvodu, který může být uzemněn anebo na neživých částech, které mohou být uzemněny (sít‚ PELV), a ochranným oddělením sítě PELV od všech ostatních obvodů jiných než SELV a PELV. </w:t>
      </w:r>
    </w:p>
    <w:p>
      <w:pPr>
        <w:pStyle w:val="BodyText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Jestliže je obvod PELV uzemněn a jestliže je použito ochranné stínění, je nutné mezi ochranným stíněním a sítí PELV použít základní izolaci.</w:t>
      </w:r>
    </w:p>
    <w:p>
      <w:pPr>
        <w:pStyle w:val="Textnormy"/>
        <w:numPr>
          <w:ilvl w:val="0"/>
          <w:numId w:val="0"/>
        </w:numPr>
        <w:spacing w:before="57" w:after="0"/>
        <w:ind w:hanging="0" w:star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Zdroj sítě </w:t>
      </w:r>
      <w:r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 xml:space="preserve">ELV </w:t>
      </w:r>
      <w:r>
        <w:rPr>
          <w:rFonts w:ascii="Times New Roman" w:hAnsi="Times New Roman"/>
          <w:sz w:val="24"/>
          <w:szCs w:val="24"/>
        </w:rPr>
        <w:t xml:space="preserve">musí být </w:t>
      </w:r>
      <w:r>
        <w:rPr>
          <w:rFonts w:ascii="Times New Roman" w:hAnsi="Times New Roman"/>
          <w:sz w:val="24"/>
          <w:szCs w:val="24"/>
        </w:rPr>
        <w:t xml:space="preserve">vyhovující 414.3., </w:t>
      </w:r>
      <w:r>
        <w:rPr>
          <w:rFonts w:ascii="Times New Roman" w:hAnsi="Times New Roman"/>
          <w:sz w:val="24"/>
          <w:szCs w:val="24"/>
        </w:rPr>
        <w:t xml:space="preserve">v případě MaR bezpečnostním ochranným transformátorem </w:t>
      </w:r>
      <w:r>
        <w:rPr>
          <w:rFonts w:ascii="Times New Roman" w:hAnsi="Times New Roman"/>
          <w:sz w:val="24"/>
          <w:szCs w:val="24"/>
        </w:rPr>
        <w:t xml:space="preserve">nebo spínaným zdrojem </w:t>
      </w:r>
      <w:r>
        <w:rPr>
          <w:rFonts w:ascii="Times New Roman" w:hAnsi="Times New Roman"/>
          <w:sz w:val="24"/>
          <w:szCs w:val="24"/>
        </w:rPr>
        <w:t>odpovídající EN 61558-2-6</w:t>
      </w:r>
    </w:p>
    <w:p>
      <w:pPr>
        <w:pStyle w:val="BodyText"/>
        <w:spacing w:before="57" w:after="0"/>
        <w:jc w:val="both"/>
        <w:rPr>
          <w:rFonts w:ascii="Times New Roman" w:hAnsi="Times New Roman"/>
          <w:i/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Poznámka</w:t>
        <w:br/>
        <w:t>Při současném dotyku živých částí sítě PELV a vodivých částí, na nichž se v případě poruchy může objevit napětí napájecího obvodu, může být mezi těmito částmi při poruše nebezpečné dotykové napětí. Proto je v takovém případě třeba uzemnit obvod PELV a všechny vodivé části, na nichž se v případě poruchy může objevit napětí napájecího obvodu, zahrnout do ochranného pospojování.</w:t>
      </w:r>
    </w:p>
    <w:p>
      <w:pPr>
        <w:pStyle w:val="Normal"/>
        <w:spacing w:lineRule="atLeast" w:line="240" w:before="57" w:after="5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Konkrétní ochranná opatření v sítích 24VDC a AC (FELV </w:t>
      </w:r>
      <w:r>
        <w:rPr>
          <w:rFonts w:ascii="Times New Roman" w:hAnsi="Times New Roman"/>
          <w:b/>
          <w:bCs/>
          <w:sz w:val="24"/>
          <w:szCs w:val="24"/>
        </w:rPr>
        <w:t xml:space="preserve">nebo </w:t>
      </w:r>
      <w:r>
        <w:rPr>
          <w:rFonts w:ascii="Times New Roman" w:hAnsi="Times New Roman"/>
          <w:b/>
          <w:bCs/>
          <w:sz w:val="24"/>
          <w:szCs w:val="24"/>
        </w:rPr>
        <w:t xml:space="preserve">PELV) budou zvolena až s ohledem na vybraného dodavatele systému (typ napájení regulátorů a jeho propojení s perifériemi) a rozvaděče MaR </w:t>
      </w:r>
      <w:r>
        <w:rPr>
          <w:rFonts w:ascii="Times New Roman" w:hAnsi="Times New Roman"/>
          <w:b/>
          <w:bCs/>
          <w:sz w:val="24"/>
          <w:szCs w:val="24"/>
        </w:rPr>
        <w:t>a dle článků 411.7 a 414.</w:t>
      </w:r>
    </w:p>
    <w:p>
      <w:pPr>
        <w:pStyle w:val="Normal"/>
        <w:spacing w:before="57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Ochranné pospojování </w:t>
      </w:r>
      <w:r>
        <w:rPr>
          <w:rFonts w:ascii="Times New Roman" w:hAnsi="Times New Roman"/>
          <w:b/>
          <w:bCs/>
          <w:sz w:val="24"/>
          <w:szCs w:val="24"/>
        </w:rPr>
        <w:t>(</w:t>
      </w:r>
      <w:r>
        <w:rPr>
          <w:rFonts w:ascii="Times New Roman" w:hAnsi="Times New Roman"/>
          <w:b/>
          <w:bCs/>
          <w:sz w:val="24"/>
          <w:szCs w:val="24"/>
        </w:rPr>
        <w:t>411.3.1.2</w:t>
      </w:r>
      <w:r>
        <w:rPr>
          <w:rFonts w:ascii="Times New Roman" w:hAnsi="Times New Roman"/>
          <w:b/>
          <w:bCs/>
          <w:sz w:val="24"/>
          <w:szCs w:val="24"/>
        </w:rPr>
        <w:t>)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>
      <w:pPr>
        <w:pStyle w:val="Normal"/>
        <w:spacing w:before="57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bCs w:val="false"/>
          <w:sz w:val="24"/>
          <w:szCs w:val="24"/>
        </w:rPr>
        <w:t>V</w:t>
      </w:r>
      <w:r>
        <w:rPr>
          <w:rFonts w:ascii="Times New Roman" w:hAnsi="Times New Roman"/>
          <w:b w:val="false"/>
          <w:bCs w:val="false"/>
          <w:sz w:val="24"/>
          <w:szCs w:val="24"/>
        </w:rPr>
        <w:t> každé budově musejí být vstupující kovové části, které jsou náchylné přivést nebezpečný rozdíl potenciálů a které nejsou součástí elektrické instalace, spojeny s hlavní uzemňovací svorkou (resp. ochrannou přípojnicí) vodiči ochranného pospojování; mezi příklady takových kovových částí mohou patřit:</w:t>
      </w:r>
    </w:p>
    <w:p>
      <w:pPr>
        <w:pStyle w:val="Seznamvnorm"/>
        <w:numPr>
          <w:ilvl w:val="0"/>
          <w:numId w:val="4"/>
        </w:numPr>
        <w:spacing w:before="57" w:after="0"/>
        <w:ind w:hanging="283" w:start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kovová potrubí zajišťující napájení budovy např. plynem, vodou, systémy dálkového vytápění;</w:t>
      </w:r>
    </w:p>
    <w:p>
      <w:pPr>
        <w:pStyle w:val="Seznamvnorm"/>
        <w:numPr>
          <w:ilvl w:val="0"/>
          <w:numId w:val="4"/>
        </w:numPr>
        <w:spacing w:before="0" w:after="0"/>
        <w:ind w:hanging="283" w:start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konstrukční cizí vodivé části;</w:t>
      </w:r>
    </w:p>
    <w:p>
      <w:pPr>
        <w:pStyle w:val="Seznamvnorm"/>
        <w:numPr>
          <w:ilvl w:val="0"/>
          <w:numId w:val="4"/>
        </w:numPr>
        <w:spacing w:before="0" w:after="0"/>
        <w:ind w:hanging="283" w:start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přístupná konstrukční výztuž betonu.</w:t>
      </w:r>
    </w:p>
    <w:p>
      <w:pPr>
        <w:pStyle w:val="Textnormy"/>
        <w:spacing w:before="57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Jsou-li takové části přiváděny do budovy zvenku, musí být pospojovány, pokud možno co nejblíže k místu, kde vstupují do budovy.</w:t>
      </w:r>
    </w:p>
    <w:p>
      <w:pPr>
        <w:pStyle w:val="Textnormy"/>
        <w:spacing w:before="57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Kovová potrubí vstupující do budovy, jež mají na svém vstupu izolační vložku, s ochranným pospojováním spojena být nemusí.</w:t>
      </w:r>
    </w:p>
    <w:p>
      <w:pPr>
        <w:pStyle w:val="BodyText"/>
        <w:spacing w:lineRule="atLeast" w:line="240" w:before="57" w:after="0"/>
        <w:jc w:val="both"/>
        <w:rPr>
          <w:rFonts w:ascii="Times New Roman" w:hAnsi="Times New Roman"/>
          <w:sz w:val="24"/>
          <w:szCs w:val="24"/>
        </w:rPr>
      </w:pPr>
      <w:r>
        <w:rPr>
          <w:iCs/>
          <w:sz w:val="24"/>
          <w:szCs w:val="24"/>
        </w:rPr>
        <w:t xml:space="preserve">Na instalovaném zařízení musí být provedeno </w:t>
      </w:r>
      <w:r>
        <w:rPr>
          <w:b/>
          <w:bCs/>
          <w:iCs/>
          <w:sz w:val="24"/>
          <w:szCs w:val="24"/>
        </w:rPr>
        <w:t>ochranné pospojování vodičem</w:t>
      </w:r>
      <w:r>
        <w:rPr>
          <w:iCs/>
          <w:sz w:val="24"/>
          <w:szCs w:val="24"/>
        </w:rPr>
        <w:t xml:space="preserve"> </w:t>
      </w:r>
      <w:r>
        <w:rPr>
          <w:b/>
          <w:bCs/>
          <w:iCs/>
          <w:sz w:val="24"/>
          <w:szCs w:val="24"/>
        </w:rPr>
        <w:t xml:space="preserve">dle </w:t>
      </w:r>
      <w:r>
        <w:rPr>
          <w:rFonts w:eastAsia="Times New Roman" w:cs="Times New Roman"/>
          <w:b/>
          <w:bCs/>
          <w:kern w:val="0"/>
          <w:sz w:val="24"/>
          <w:szCs w:val="24"/>
          <w:lang w:eastAsia="cs-CZ"/>
        </w:rPr>
        <w:t>ČSN 33 2000-5-54 ed.3 čl. 544</w:t>
      </w:r>
    </w:p>
    <w:p>
      <w:pPr>
        <w:pStyle w:val="Normal"/>
        <w:spacing w:lineRule="atLeast" w:line="11" w:before="57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cs-CZ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cs-CZ"/>
        </w:rPr>
        <w:t>Průřez vodičů ochranného pospojování určených pro připojení k hlavní uzemňovací svorce nesmí být menší, než je polovina průřezu vodiče ochranného uzemnění (vodič označený PE), jehož průřez je v instalaci největší, a nesmí být menší než:</w:t>
      </w:r>
    </w:p>
    <w:p>
      <w:pPr>
        <w:pStyle w:val="Normal"/>
        <w:spacing w:lineRule="auto" w:line="240" w:before="57" w:after="0"/>
        <w:rPr>
          <w:rFonts w:ascii="Times New Roman" w:hAnsi="Times New Roman" w:eastAsia="Times New Roman" w:cs="Times New Roman"/>
          <w:kern w:val="0"/>
          <w:sz w:val="24"/>
          <w:szCs w:val="24"/>
          <w:lang w:eastAsia="cs-CZ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cs-CZ"/>
        </w:rPr>
        <w:t xml:space="preserve"> — </w:t>
      </w:r>
      <w:r>
        <w:rPr>
          <w:rFonts w:eastAsia="Times New Roman" w:cs="Times New Roman" w:ascii="Times New Roman" w:hAnsi="Times New Roman"/>
          <w:kern w:val="0"/>
          <w:sz w:val="24"/>
          <w:szCs w:val="24"/>
          <w:lang w:eastAsia="cs-CZ"/>
        </w:rPr>
        <w:t xml:space="preserve">6 mm2 mědi nebo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:lang w:eastAsia="cs-CZ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cs-CZ"/>
        </w:rPr>
        <w:t xml:space="preserve">— </w:t>
      </w:r>
      <w:r>
        <w:rPr>
          <w:rFonts w:eastAsia="Times New Roman" w:cs="Times New Roman" w:ascii="Times New Roman" w:hAnsi="Times New Roman"/>
          <w:kern w:val="0"/>
          <w:sz w:val="24"/>
          <w:szCs w:val="24"/>
          <w:lang w:eastAsia="cs-CZ"/>
        </w:rPr>
        <w:t xml:space="preserve">16 mm2 hliníku nebo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:lang w:eastAsia="cs-CZ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cs-CZ"/>
        </w:rPr>
        <w:t xml:space="preserve">— </w:t>
      </w:r>
      <w:r>
        <w:rPr>
          <w:rFonts w:eastAsia="Times New Roman" w:cs="Times New Roman" w:ascii="Times New Roman" w:hAnsi="Times New Roman"/>
          <w:kern w:val="0"/>
          <w:sz w:val="24"/>
          <w:szCs w:val="24"/>
          <w:lang w:eastAsia="cs-CZ"/>
        </w:rPr>
        <w:t>50 mm2 oceli.</w:t>
      </w:r>
    </w:p>
    <w:p>
      <w:pPr>
        <w:pStyle w:val="Normal"/>
        <w:spacing w:lineRule="auto" w:line="240" w:before="57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cs-CZ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cs-CZ"/>
        </w:rPr>
        <w:t xml:space="preserve">Průřez vodičů ochranného pospojování určených pro připojení k hlavní uzemňovací svorce nemusí být větší než 25 mm2 Cu nebo ekvivalentní průřez pro jiné materiály. </w:t>
      </w:r>
    </w:p>
    <w:p>
      <w:pPr>
        <w:pStyle w:val="BodyText"/>
        <w:spacing w:lineRule="atLeast" w:line="240" w:before="57"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iCs/>
          <w:sz w:val="24"/>
          <w:szCs w:val="24"/>
        </w:rPr>
        <w:t xml:space="preserve">Barevné označení vodičů dle ČSN 330165 ed.2. </w:t>
      </w:r>
    </w:p>
    <w:p>
      <w:pPr>
        <w:pStyle w:val="Normal"/>
        <w:spacing w:before="57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Jako ochranné vodiče nebo vodiče ochranného pospojování se nesmějí používat tyto kovové části:</w:t>
      </w:r>
    </w:p>
    <w:p>
      <w:pPr>
        <w:pStyle w:val="Seznamvnorm"/>
        <w:numPr>
          <w:ilvl w:val="0"/>
          <w:numId w:val="4"/>
        </w:numPr>
        <w:spacing w:before="57" w:after="0"/>
        <w:ind w:hanging="284" w:star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kovová vodovodní potrubí;</w:t>
      </w:r>
    </w:p>
    <w:p>
      <w:pPr>
        <w:pStyle w:val="Seznamvnorm"/>
        <w:numPr>
          <w:ilvl w:val="0"/>
          <w:numId w:val="4"/>
        </w:numPr>
        <w:spacing w:before="0" w:after="0"/>
        <w:ind w:hanging="284" w:star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potrubí obsahující potenciálně hořlavé látky, jako jsou plyny, kapaliny, prachy;</w:t>
      </w:r>
    </w:p>
    <w:p>
      <w:pPr>
        <w:pStyle w:val="Seznamvnorm"/>
        <w:numPr>
          <w:ilvl w:val="0"/>
          <w:numId w:val="4"/>
        </w:numPr>
        <w:spacing w:before="57" w:after="0"/>
        <w:ind w:hanging="284" w:star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konstrukční části vystavené za normálního provozu mechanickým namáháním;</w:t>
      </w:r>
    </w:p>
    <w:p>
      <w:pPr>
        <w:pStyle w:val="Seznamvnorm"/>
        <w:numPr>
          <w:ilvl w:val="0"/>
          <w:numId w:val="4"/>
        </w:numPr>
        <w:spacing w:before="0" w:after="0"/>
        <w:ind w:hanging="284" w:star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pohyblivá nebo poddajná kovová vedení, pokud pro účel ochranných vodičů nejsou přímo navržená;</w:t>
      </w:r>
    </w:p>
    <w:p>
      <w:pPr>
        <w:pStyle w:val="Seznamvnorm"/>
        <w:numPr>
          <w:ilvl w:val="0"/>
          <w:numId w:val="4"/>
        </w:numPr>
        <w:spacing w:before="0" w:after="0"/>
        <w:ind w:hanging="284" w:star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pohyblivé kovové části;</w:t>
      </w:r>
    </w:p>
    <w:p>
      <w:pPr>
        <w:pStyle w:val="Seznamvnorm"/>
        <w:numPr>
          <w:ilvl w:val="0"/>
          <w:numId w:val="4"/>
        </w:numPr>
        <w:spacing w:before="0" w:after="0"/>
        <w:ind w:hanging="284" w:star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podpěry vodičů, kabelové lávky a kabelové žebříky.</w:t>
      </w:r>
    </w:p>
    <w:p>
      <w:pPr>
        <w:pStyle w:val="Textnormy"/>
        <w:spacing w:lineRule="atLeast" w:line="0" w:before="57" w:after="0"/>
        <w:rPr/>
      </w:pPr>
      <w:r>
        <w:rPr>
          <w:rFonts w:ascii="Times New Roman" w:hAnsi="Times New Roman"/>
          <w:b w:val="false"/>
          <w:bCs w:val="false"/>
          <w:sz w:val="24"/>
          <w:szCs w:val="24"/>
        </w:rPr>
        <w:t>Za určitých podmínek vnějších vlivů a v určitých zvláštních prostorách může být v části MaR provedena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Doplňková ochrana doplňujícím ochranným pospojováním </w:t>
      </w: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:lang w:eastAsia="cs-CZ"/>
        </w:rPr>
        <w:t>ČSN 33 2000-4-41 ed.3, čl. 415.2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pStyle w:val="Textnormy"/>
        <w:spacing w:lineRule="atLeast" w:line="0" w:before="57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Doplňk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 xml:space="preserve">vá ochrana </w:t>
      </w:r>
      <w:r>
        <w:rPr>
          <w:rFonts w:ascii="Times New Roman" w:hAnsi="Times New Roman"/>
          <w:sz w:val="24"/>
          <w:szCs w:val="24"/>
        </w:rPr>
        <w:t>je prostředek, s jehož pomocí se nebezpečné dotykové napětí vyruší pospojením předmětů.</w:t>
      </w:r>
    </w:p>
    <w:p>
      <w:pPr>
        <w:pStyle w:val="Textnormy"/>
        <w:spacing w:lineRule="atLeast" w:line="0" w:before="57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Doplňující ochranné pospojování se uplatňuje jako prostředek doplňkové ochrany, kdy</w:t>
      </w:r>
    </w:p>
    <w:p>
      <w:pPr>
        <w:pStyle w:val="Textnormy"/>
        <w:numPr>
          <w:ilvl w:val="0"/>
          <w:numId w:val="2"/>
        </w:numPr>
        <w:spacing w:lineRule="atLeast" w:line="0" w:before="57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základní ochrana je zajištěna jedním z prostředků: základní izolací nebo ochrannými </w:t>
        <w:br/>
        <w:t>přepážkami nebo kryty</w:t>
      </w:r>
    </w:p>
    <w:p>
      <w:pPr>
        <w:pStyle w:val="Textnormy"/>
        <w:numPr>
          <w:ilvl w:val="0"/>
          <w:numId w:val="2"/>
        </w:numPr>
        <w:spacing w:lineRule="atLeast" w:line="0" w:before="57" w:after="0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 xml:space="preserve">ochrana při poruše </w:t>
      </w:r>
      <w:r>
        <w:rPr>
          <w:rFonts w:ascii="Times New Roman" w:hAnsi="Times New Roman"/>
          <w:sz w:val="24"/>
          <w:szCs w:val="24"/>
        </w:rPr>
        <w:t>je zajištěna ochranným uzemněním, ochranným pospojováním (5.3.3) a automatickým odpojením v případě poruchy.</w:t>
      </w:r>
    </w:p>
    <w:p>
      <w:pPr>
        <w:pStyle w:val="Textnormy"/>
        <w:spacing w:lineRule="atLeast" w:line="0" w:before="57"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Toto ochranné opatření pomůže předejít nebezpečnému dotykovému napětí mezi neživými a cizími vodivými částmi, jichž je možno se současně dotknout.</w:t>
      </w:r>
    </w:p>
    <w:p>
      <w:pPr>
        <w:pStyle w:val="BodyText"/>
        <w:spacing w:lineRule="atLeast" w:line="240" w:before="120" w:after="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Bezpečnostní vypínání el.zařízení jako celku bude v rozvodnicích RA- , Hlavní vypínač označit tabulkou "Hlavní vypínač-vypni v nebezpečí". </w:t>
      </w:r>
    </w:p>
    <w:p>
      <w:pPr>
        <w:pStyle w:val="BodyText"/>
        <w:spacing w:lineRule="atLeast" w:line="240" w:before="170" w:after="57"/>
        <w:jc w:val="both"/>
        <w:rPr>
          <w:rFonts w:ascii="Arial" w:hAnsi="Arial" w:cs="Arial"/>
          <w:b/>
          <w:bCs/>
          <w:iCs/>
          <w:sz w:val="24"/>
        </w:rPr>
      </w:pPr>
      <w:r>
        <w:rPr>
          <w:rFonts w:cs="Arial" w:ascii="Arial" w:hAnsi="Arial"/>
          <w:b/>
          <w:bCs/>
          <w:iCs/>
          <w:sz w:val="24"/>
        </w:rPr>
        <w:t>POŽADAVKY NA BEZPEČNOST PRÁCE</w:t>
      </w:r>
    </w:p>
    <w:p>
      <w:pPr>
        <w:pStyle w:val="TextOdst"/>
        <w:spacing w:lineRule="atLeast" w:line="240" w:before="57" w:after="0"/>
        <w:ind w:hanging="0" w:start="0" w:end="0"/>
        <w:jc w:val="both"/>
        <w:rPr>
          <w:sz w:val="24"/>
          <w:szCs w:val="24"/>
          <w:lang w:val="cs-CZ" w:eastAsia="cs-CZ"/>
        </w:rPr>
      </w:pPr>
      <w:r>
        <w:rPr>
          <w:sz w:val="24"/>
          <w:szCs w:val="24"/>
          <w:lang w:val="cs-CZ" w:eastAsia="cs-CZ"/>
        </w:rPr>
        <w:t>Projektová dokumentace musí být zhotovitelem stavebních prací podle specifických podmínek doplněna, respektive upřesněna před zahájením stavby konkrétními požadavky a doklady o technologickém či pracovním postupu v rámci výrobní přípravy zhotovitele. Souhrn všech úkonů k zabezpečení stavby a postupu jednotlivých prací musí být obsažen v tzv. dodavatelské dokumentaci.</w:t>
      </w:r>
    </w:p>
    <w:p>
      <w:pPr>
        <w:pStyle w:val="Heading3"/>
        <w:spacing w:lineRule="atLeast" w:line="198" w:before="57" w:after="57"/>
        <w:ind w:hanging="0" w:start="0" w:end="0"/>
        <w:jc w:val="both"/>
        <w:rPr/>
      </w:pPr>
      <w:bookmarkStart w:id="9" w:name="__RefHeading___Toc3783_1866467129"/>
      <w:bookmarkEnd w:id="9"/>
      <w:r>
        <w:rPr/>
        <w:t>Provádění stavebně montážních prací:</w:t>
      </w:r>
    </w:p>
    <w:p>
      <w:pPr>
        <w:pStyle w:val="Heading3"/>
        <w:spacing w:lineRule="atLeast" w:line="198" w:before="57" w:after="57"/>
        <w:ind w:hanging="0" w:start="0" w:end="0"/>
        <w:jc w:val="both"/>
        <w:rPr>
          <w:sz w:val="24"/>
          <w:szCs w:val="24"/>
        </w:rPr>
      </w:pPr>
      <w:bookmarkStart w:id="10" w:name="__RefHeading___Toc3785_1866467129"/>
      <w:bookmarkEnd w:id="10"/>
      <w:r>
        <w:rPr>
          <w:sz w:val="24"/>
          <w:szCs w:val="24"/>
        </w:rPr>
        <w:t>Při provádění musí být dodržována příslušná ustanovení následujících norem a předpisů :</w:t>
      </w:r>
    </w:p>
    <w:p>
      <w:pPr>
        <w:pStyle w:val="TextOdst"/>
        <w:spacing w:lineRule="atLeast" w:line="240" w:before="57" w:after="0"/>
        <w:ind w:hanging="0" w:start="0" w:end="0"/>
        <w:jc w:val="both"/>
        <w:rPr/>
      </w:pPr>
      <w:r>
        <w:rPr>
          <w:sz w:val="24"/>
          <w:szCs w:val="24"/>
        </w:rPr>
        <w:t>Zákon 309/2006</w:t>
      </w:r>
      <w:r>
        <w:rPr>
          <w:rFonts w:eastAsia="Arial Unicode MS;Malgun Gothic Semilight"/>
          <w:sz w:val="24"/>
          <w:szCs w:val="24"/>
        </w:rPr>
        <w:t>., 207/1991 Sb., 352/2000 Sb., 192/2005 Sb.</w:t>
      </w:r>
    </w:p>
    <w:p>
      <w:pPr>
        <w:pStyle w:val="TextOdst"/>
        <w:spacing w:lineRule="atLeast" w:line="240" w:before="120" w:after="0"/>
        <w:jc w:val="both"/>
        <w:rPr>
          <w:sz w:val="24"/>
          <w:szCs w:val="24"/>
          <w:lang w:val="cs-CZ" w:eastAsia="cs-CZ"/>
        </w:rPr>
      </w:pPr>
      <w:r>
        <w:rPr>
          <w:sz w:val="24"/>
          <w:szCs w:val="24"/>
          <w:lang w:val="cs-CZ" w:eastAsia="cs-CZ"/>
        </w:rPr>
        <w:t>ČSN EN 50110-1 ed.3 Obsluha a práci na elektrických zařízeních</w:t>
      </w:r>
    </w:p>
    <w:p>
      <w:pPr>
        <w:pStyle w:val="TextOdst"/>
        <w:spacing w:lineRule="atLeast" w:line="240" w:before="60" w:after="0"/>
        <w:jc w:val="both"/>
        <w:rPr>
          <w:sz w:val="24"/>
        </w:rPr>
      </w:pPr>
      <w:r>
        <w:rPr>
          <w:sz w:val="24"/>
        </w:rPr>
        <w:t>ČSN EN 50110-2 ed.2 Obsluha a práci na elektrických zařízeních (národní dodatky)</w:t>
      </w:r>
    </w:p>
    <w:p>
      <w:pPr>
        <w:pStyle w:val="TextOdst"/>
        <w:spacing w:lineRule="atLeast" w:line="238" w:before="113" w:after="0"/>
        <w:ind w:hanging="0" w:start="0" w:end="0"/>
        <w:jc w:val="both"/>
        <w:rPr>
          <w:sz w:val="24"/>
        </w:rPr>
      </w:pPr>
      <w:r>
        <w:rPr>
          <w:sz w:val="24"/>
        </w:rPr>
        <w:t>Kvalifikace montážních pracovníků a pracovníků údržby:</w:t>
      </w:r>
    </w:p>
    <w:p>
      <w:pPr>
        <w:pStyle w:val="TextOdst"/>
        <w:spacing w:lineRule="atLeast" w:line="240" w:before="57" w:after="0"/>
        <w:ind w:hanging="0" w:end="0"/>
        <w:jc w:val="both"/>
        <w:rPr>
          <w:sz w:val="24"/>
          <w:szCs w:val="24"/>
          <w:lang w:val="cs-CZ" w:eastAsia="cs-CZ"/>
        </w:rPr>
      </w:pPr>
      <w:r>
        <w:rPr>
          <w:sz w:val="24"/>
          <w:szCs w:val="24"/>
          <w:lang w:val="cs-CZ" w:eastAsia="cs-CZ"/>
        </w:rPr>
        <w:t xml:space="preserve">Osoby pověřené obsluhou a údržbou elektrického zařízení pracovníci musí mít odpovídající kvalifikaci dle </w:t>
      </w:r>
      <w:r>
        <w:rPr>
          <w:rFonts w:cs="Arial"/>
          <w:sz w:val="24"/>
          <w:szCs w:val="24"/>
          <w:lang w:val="cs-CZ" w:eastAsia="cs-CZ"/>
        </w:rPr>
        <w:t>Nařízení vlády 1</w:t>
      </w:r>
      <w:r>
        <w:rPr>
          <w:rFonts w:cs="Arial"/>
          <w:sz w:val="24"/>
          <w:szCs w:val="24"/>
          <w:lang w:val="cs-CZ" w:eastAsia="cs-CZ"/>
        </w:rPr>
        <w:t>9</w:t>
      </w:r>
      <w:r>
        <w:rPr>
          <w:rFonts w:cs="Arial"/>
          <w:sz w:val="24"/>
          <w:szCs w:val="24"/>
          <w:lang w:val="cs-CZ" w:eastAsia="cs-CZ"/>
        </w:rPr>
        <w:t>4/2022 Sb.</w:t>
      </w:r>
    </w:p>
    <w:p>
      <w:pPr>
        <w:pStyle w:val="TextOdst"/>
        <w:spacing w:lineRule="atLeast" w:line="240" w:before="120" w:after="0"/>
        <w:rPr>
          <w:sz w:val="24"/>
          <w:szCs w:val="24"/>
        </w:rPr>
      </w:pPr>
      <w:r>
        <w:rPr>
          <w:sz w:val="24"/>
          <w:szCs w:val="24"/>
          <w:lang w:val="cs-CZ" w:eastAsia="cs-CZ"/>
        </w:rPr>
        <w:t xml:space="preserve">§ </w:t>
      </w:r>
      <w:r>
        <w:rPr>
          <w:sz w:val="24"/>
          <w:szCs w:val="24"/>
          <w:lang w:val="cs-CZ" w:eastAsia="cs-CZ"/>
        </w:rPr>
        <w:t>4</w:t>
      </w:r>
      <w:r>
        <w:rPr>
          <w:sz w:val="24"/>
          <w:szCs w:val="24"/>
          <w:lang w:val="cs-CZ" w:eastAsia="cs-CZ"/>
        </w:rPr>
        <w:t xml:space="preserve"> </w:t>
      </w:r>
      <w:r>
        <w:rPr>
          <w:sz w:val="24"/>
          <w:szCs w:val="24"/>
          <w:lang w:val="cs-CZ" w:eastAsia="cs-CZ"/>
        </w:rPr>
        <w:t>osoba poučená</w:t>
      </w:r>
      <w:r>
        <w:rPr>
          <w:sz w:val="24"/>
          <w:szCs w:val="24"/>
          <w:lang w:val="cs-CZ" w:eastAsia="cs-CZ"/>
        </w:rPr>
        <w:t xml:space="preserve">  -</w:t>
      </w:r>
      <w:r>
        <w:rPr>
          <w:sz w:val="24"/>
          <w:szCs w:val="24"/>
        </w:rPr>
        <w:t xml:space="preserve">odborně způsobilá osoba podle § 19 zákona </w:t>
      </w:r>
    </w:p>
    <w:p>
      <w:pPr>
        <w:pStyle w:val="TextOdst"/>
        <w:widowControl/>
        <w:suppressAutoHyphens w:val="false"/>
        <w:kinsoku w:val="true"/>
        <w:overflowPunct w:val="true"/>
        <w:autoSpaceDE w:val="true"/>
        <w:bidi w:val="0"/>
        <w:spacing w:lineRule="atLeast" w:line="240" w:before="60" w:after="0"/>
        <w:ind w:hanging="2041" w:start="2438" w:end="0"/>
        <w:rPr>
          <w:sz w:val="24"/>
          <w:szCs w:val="24"/>
        </w:rPr>
      </w:pPr>
      <w:r>
        <w:rPr>
          <w:sz w:val="24"/>
          <w:szCs w:val="24"/>
          <w:lang w:val="cs-CZ" w:eastAsia="cs-CZ"/>
        </w:rPr>
        <w:t xml:space="preserve">§ 5 </w:t>
      </w:r>
      <w:r>
        <w:rPr>
          <w:sz w:val="24"/>
          <w:szCs w:val="24"/>
          <w:lang w:val="cs-CZ" w:eastAsia="cs-CZ"/>
        </w:rPr>
        <w:t>osoba znalá</w:t>
      </w:r>
      <w:r>
        <w:rPr>
          <w:sz w:val="24"/>
          <w:szCs w:val="24"/>
          <w:lang w:val="cs-CZ" w:eastAsia="cs-CZ"/>
        </w:rPr>
        <w:t xml:space="preserve">      -</w:t>
      </w:r>
      <w:r>
        <w:rPr>
          <w:sz w:val="24"/>
          <w:szCs w:val="24"/>
        </w:rPr>
        <w:t xml:space="preserve">odborně způsobilá vykonávat veškeré práce na elektrickém zařízení v rozsahu vydaného dokladu o úspěšném složení zkoušky z odborné způsobilosti k výkonu činností v elektrotechnice podle § 19 zákona. </w:t>
      </w:r>
    </w:p>
    <w:p>
      <w:pPr>
        <w:pStyle w:val="TextOdst"/>
        <w:widowControl/>
        <w:suppressAutoHyphens w:val="false"/>
        <w:kinsoku w:val="true"/>
        <w:overflowPunct w:val="true"/>
        <w:autoSpaceDE w:val="true"/>
        <w:bidi w:val="0"/>
        <w:spacing w:lineRule="atLeast" w:line="240" w:before="60" w:after="0"/>
        <w:ind w:hanging="1984" w:start="2381" w:end="0"/>
        <w:rPr>
          <w:sz w:val="24"/>
          <w:szCs w:val="24"/>
        </w:rPr>
      </w:pPr>
      <w:r>
        <w:rPr>
          <w:sz w:val="24"/>
          <w:szCs w:val="24"/>
        </w:rPr>
        <w:t xml:space="preserve">§ </w:t>
      </w:r>
      <w:r>
        <w:rPr>
          <w:sz w:val="24"/>
          <w:szCs w:val="24"/>
        </w:rPr>
        <w:t>6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elektrotechnik   -osoba s odbornou kvalifikací podle § 2 písm. a), která po zaškolení složila zkoušku z odborné způsobilosti k výkonu činností v elektrotechnice ve stanoveném rozsahu. Elektrotechnik vykonává činnosti na elektrických zařízeních a v jejich blízkosti samostatně s výjimkou zvláštních případů vycházejících z hodnocení rizik. </w:t>
      </w:r>
    </w:p>
    <w:p>
      <w:pPr>
        <w:pStyle w:val="TextOdst"/>
        <w:spacing w:lineRule="atLeast" w:line="0" w:before="57" w:after="0"/>
        <w:ind w:hanging="0" w:start="0" w:end="0"/>
        <w:jc w:val="both"/>
        <w:rPr>
          <w:sz w:val="24"/>
          <w:szCs w:val="24"/>
          <w:lang w:val="cs-CZ" w:eastAsia="cs-CZ"/>
        </w:rPr>
      </w:pPr>
      <w:r>
        <w:rPr>
          <w:sz w:val="24"/>
          <w:szCs w:val="24"/>
          <w:lang w:val="cs-CZ" w:eastAsia="cs-CZ"/>
        </w:rPr>
        <w:t>Tyto osoby musí prokázat znalost místních provozních a bezpečnostních předpisů, protipožárních opatření, první pomoci při úrazech elektřinou a znalost postupu a způsobu hlášení závad na svěřeném zařízení.  Osoby musí být kvalifikované i v souladu s místními předpisy.</w:t>
      </w:r>
    </w:p>
    <w:p>
      <w:pPr>
        <w:pStyle w:val="Heading3"/>
        <w:spacing w:before="113" w:after="57"/>
        <w:rPr/>
      </w:pPr>
      <w:bookmarkStart w:id="11" w:name="__RefHeading___Toc3787_1866467129"/>
      <w:bookmarkEnd w:id="11"/>
      <w:r>
        <w:rPr/>
        <w:t>Výstražné tabulky a nápisy:</w:t>
      </w:r>
    </w:p>
    <w:p>
      <w:pPr>
        <w:pStyle w:val="TextOdst"/>
        <w:spacing w:lineRule="atLeast" w:line="240" w:before="0" w:after="0"/>
        <w:ind w:hanging="0" w:start="0" w:end="0"/>
        <w:jc w:val="both"/>
        <w:rPr/>
      </w:pPr>
      <w:r>
        <w:rPr>
          <w:sz w:val="24"/>
          <w:szCs w:val="24"/>
          <w:lang w:val="cs-CZ" w:eastAsia="cs-CZ"/>
        </w:rPr>
        <w:t>Elektrická zařízení, popřípadě elektrické předměty, musí být před uvedením do provozu vybaveny bezpečnostními tabulkami a nápisy předepsanými pro tato zařízení příslušnými zařizovacími, předmětovými normami a Nařízením vlády</w:t>
      </w:r>
      <w:r>
        <w:rPr>
          <w:rFonts w:eastAsia="Arial Unicode MS;Arial"/>
          <w:sz w:val="24"/>
          <w:szCs w:val="24"/>
          <w:lang w:val="cs-CZ" w:eastAsia="cs-CZ"/>
        </w:rPr>
        <w:t xml:space="preserve"> </w:t>
      </w:r>
      <w:r>
        <w:rPr>
          <w:sz w:val="24"/>
          <w:szCs w:val="24"/>
          <w:lang w:val="cs-CZ" w:eastAsia="cs-CZ"/>
        </w:rPr>
        <w:t>č.11/2002 ve znění 119/2002 Sb a 405/2004 Sb. kterým se stanový vzhled a umístění bezpečnostních značek a zavedení signálů.</w:t>
      </w:r>
    </w:p>
    <w:p>
      <w:pPr>
        <w:pStyle w:val="Heading3"/>
        <w:spacing w:before="113" w:after="0"/>
        <w:rPr/>
      </w:pPr>
      <w:bookmarkStart w:id="12" w:name="__RefHeading___Toc3789_1866467129"/>
      <w:bookmarkEnd w:id="12"/>
      <w:r>
        <w:rPr/>
        <w:t>Obsluha elektrotechnických zařízení:</w:t>
      </w:r>
    </w:p>
    <w:p>
      <w:pPr>
        <w:pStyle w:val="TextOdst"/>
        <w:spacing w:lineRule="atLeast" w:line="240" w:before="57" w:after="57"/>
        <w:ind w:hanging="0" w:start="0" w:end="0"/>
        <w:jc w:val="both"/>
        <w:rPr>
          <w:sz w:val="24"/>
          <w:szCs w:val="24"/>
          <w:lang w:val="cs-CZ" w:eastAsia="cs-CZ"/>
        </w:rPr>
      </w:pPr>
      <w:r>
        <w:rPr>
          <w:sz w:val="24"/>
          <w:szCs w:val="24"/>
          <w:lang w:val="cs-CZ" w:eastAsia="cs-CZ"/>
        </w:rPr>
        <w:t>Osoby užívající elektrická zařízení musí být seznámeny s jeho obsluhou například formou návodu, nebo jiným doložitelným způsobem.</w:t>
      </w:r>
    </w:p>
    <w:p>
      <w:pPr>
        <w:pStyle w:val="Heading3"/>
        <w:spacing w:before="113" w:after="0"/>
        <w:rPr/>
      </w:pPr>
      <w:bookmarkStart w:id="13" w:name="__RefHeading___Toc3791_1866467129"/>
      <w:bookmarkEnd w:id="13"/>
      <w:r>
        <w:rPr/>
        <w:t xml:space="preserve">Obsluha </w:t>
      </w:r>
      <w:r>
        <w:rPr>
          <w:rFonts w:eastAsia="Times New Roman" w:cs="Times New Roman"/>
          <w:bCs/>
          <w:color w:val="auto"/>
          <w:sz w:val="24"/>
          <w:szCs w:val="22"/>
          <w:lang w:val="cs-CZ" w:eastAsia="zh-CN" w:bidi="ar-SA"/>
        </w:rPr>
        <w:t>zdroje tepla</w:t>
      </w:r>
      <w:r>
        <w:rPr/>
        <w:t>:</w:t>
      </w:r>
    </w:p>
    <w:p>
      <w:pPr>
        <w:pStyle w:val="Normal"/>
        <w:spacing w:lineRule="atLeast" w:line="11" w:before="57" w:after="0"/>
        <w:ind w:hanging="0" w:start="0" w:end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odavatel zaškolí obsluhu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Jednotlivé sekce označit štítky s názvy sekcí, čerpadla popsat v souladu s označením v el. rozvaděči a zvyklostmi investora. Jednotlivá potrubí označit štítky se směrem toku média a s názvem média.</w:t>
      </w:r>
    </w:p>
    <w:p>
      <w:pPr>
        <w:pStyle w:val="Normal"/>
        <w:spacing w:lineRule="atLeast" w:line="11" w:before="57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Doby plného vytápění a útlumu a časový režim vytápění bude nastaven dle skutečných požadavků provozu.</w:t>
      </w:r>
    </w:p>
    <w:p>
      <w:pPr>
        <w:pStyle w:val="Normal"/>
        <w:spacing w:lineRule="atLeast" w:line="11" w:before="57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Obsluha občasná v intervalech stanovených provozním řádem. Obsluha musí být odborně způsobilá, starší 18-ti let a splňovat požadavky příslušných předpisů.</w:t>
      </w:r>
    </w:p>
    <w:p>
      <w:pPr>
        <w:pStyle w:val="Normal"/>
        <w:spacing w:lineRule="atLeast" w:line="11" w:before="57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Provoz zařízení v automatickém režimu dle provozního řádu. Provozní dokumentace pro provoz, údržbu, obsluhu a užívání bude zpracována dle ČSN EN 12170-Tepelné soustavy vyžadující kvalifikovanou obsluhu.</w:t>
      </w:r>
    </w:p>
    <w:p>
      <w:pPr>
        <w:pStyle w:val="Normal"/>
        <w:spacing w:lineRule="atLeast" w:line="11" w:before="57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Provozní dokumentace má zajistit, aby pro tepelnou soustavu byl k dispozici její trvalý popis a soubor návodů a požadavků pro provoz, údržbu, obsluhu a užívání, aby tak byla zajištěna bezpečnost zařízení, hospodárná spotřeba energie a řízení kvality prostředí.</w:t>
      </w:r>
    </w:p>
    <w:p>
      <w:pPr>
        <w:pStyle w:val="Normal"/>
        <w:spacing w:lineRule="atLeast" w:line="11" w:before="57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Dokumentaci zpracovává majitel tepelné soustavy ve spolupráci s pracovníky montáže přejímacími osobami na základě technických podkladů výrobců zařízení a příslušné ČSN.</w:t>
      </w:r>
    </w:p>
    <w:p>
      <w:pPr>
        <w:pStyle w:val="Normal"/>
        <w:tabs>
          <w:tab w:val="clear" w:pos="720"/>
          <w:tab w:val="left" w:pos="284" w:leader="none"/>
        </w:tabs>
        <w:spacing w:lineRule="atLeast" w:line="11" w:before="57" w:after="0"/>
        <w:ind w:hanging="0" w:start="0" w:end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Obsluha musí provádět kontrolu v pravidelných lhůtách stanovených provozním řádem. Při signalizaci poruchy nebo odstavení z provozu při poruše zařízení musí obsluha zjistit příčinu, odstranit ji a uvést zařízení do provozu.</w:t>
      </w:r>
    </w:p>
    <w:p>
      <w:pPr>
        <w:pStyle w:val="Heading1"/>
        <w:shd w:fill="CCCCCC" w:val="clear"/>
        <w:ind w:hanging="357" w:start="357" w:end="0"/>
        <w:rPr/>
      </w:pPr>
      <w:bookmarkStart w:id="14" w:name="__RefHeading___Toc446495709"/>
      <w:bookmarkEnd w:id="14"/>
      <w:r>
        <w:rPr/>
        <w:t>ochrana životního prostředí, ochrana proti hluku a vibracím, požární opatření</w:t>
      </w:r>
    </w:p>
    <w:p>
      <w:pPr>
        <w:pStyle w:val="Zkladntext3"/>
        <w:overflowPunct w:val="true"/>
        <w:autoSpaceDE w:val="true"/>
        <w:spacing w:lineRule="auto" w:line="240" w:before="113" w:after="57"/>
        <w:contextualSpacing/>
        <w:jc w:val="both"/>
        <w:textAlignment w:val="auto"/>
        <w:rPr>
          <w:szCs w:val="22"/>
          <w:lang w:eastAsia="en-US"/>
        </w:rPr>
      </w:pPr>
      <w:r>
        <w:rPr>
          <w:szCs w:val="22"/>
          <w:lang w:eastAsia="en-US"/>
        </w:rPr>
        <w:t xml:space="preserve">Při průchodu kabelů stěnou mezi požárními úseky bude prostup protipožárně utěsněn. Veškerá uložení budou certifikovaná. </w:t>
      </w:r>
      <w:r>
        <w:rPr>
          <w:szCs w:val="22"/>
          <w:lang w:eastAsia="en-US"/>
        </w:rPr>
        <w:t>Kabel</w:t>
      </w:r>
      <w:r>
        <w:rPr>
          <w:szCs w:val="22"/>
          <w:lang w:eastAsia="en-US"/>
        </w:rPr>
        <w:t>y</w:t>
      </w:r>
      <w:r>
        <w:rPr>
          <w:szCs w:val="22"/>
          <w:lang w:eastAsia="en-US"/>
        </w:rPr>
        <w:t xml:space="preserve"> MaR procházející mezi požárními úseky, </w:t>
      </w:r>
      <w:r>
        <w:rPr>
          <w:szCs w:val="22"/>
          <w:lang w:eastAsia="en-US"/>
        </w:rPr>
        <w:t xml:space="preserve">které </w:t>
      </w:r>
      <w:r>
        <w:rPr>
          <w:szCs w:val="22"/>
          <w:lang w:eastAsia="en-US"/>
        </w:rPr>
        <w:t>nedosahuj</w:t>
      </w:r>
      <w:r>
        <w:rPr>
          <w:szCs w:val="22"/>
          <w:lang w:eastAsia="en-US"/>
        </w:rPr>
        <w:t>í</w:t>
      </w:r>
      <w:r>
        <w:rPr>
          <w:szCs w:val="22"/>
          <w:lang w:eastAsia="en-US"/>
        </w:rPr>
        <w:t xml:space="preserve"> vnějšího     průměru do 20 mm, nemusí být protipožárně utěsně</w:t>
      </w:r>
      <w:r>
        <w:rPr>
          <w:szCs w:val="22"/>
          <w:lang w:eastAsia="en-US"/>
        </w:rPr>
        <w:t xml:space="preserve">ny. </w:t>
      </w:r>
      <w:r>
        <w:rPr>
          <w:szCs w:val="22"/>
          <w:lang w:eastAsia="en-US"/>
        </w:rPr>
        <w:t>Kabel</w:t>
      </w:r>
      <w:r>
        <w:rPr>
          <w:szCs w:val="22"/>
          <w:lang w:eastAsia="en-US"/>
        </w:rPr>
        <w:t>y</w:t>
      </w:r>
      <w:r>
        <w:rPr>
          <w:szCs w:val="22"/>
          <w:lang w:eastAsia="en-US"/>
        </w:rPr>
        <w:t xml:space="preserve"> MaR procházející </w:t>
      </w:r>
      <w:r>
        <w:rPr>
          <w:szCs w:val="22"/>
          <w:lang w:eastAsia="en-US"/>
        </w:rPr>
        <w:t>chráněnou únikovou cestou</w:t>
      </w:r>
      <w:r>
        <w:rPr>
          <w:szCs w:val="22"/>
          <w:lang w:eastAsia="en-US"/>
        </w:rPr>
        <w:t xml:space="preserve">, </w:t>
      </w:r>
      <w:r>
        <w:rPr>
          <w:szCs w:val="22"/>
          <w:lang w:eastAsia="en-US"/>
        </w:rPr>
        <w:t>musí být v provedení B2ca (oheň nešířící, bezhalogenový).</w:t>
      </w:r>
    </w:p>
    <w:p>
      <w:pPr>
        <w:pStyle w:val="Heading1"/>
        <w:shd w:fill="CCCCCC" w:val="clear"/>
        <w:ind w:hanging="357" w:start="357" w:end="0"/>
        <w:rPr/>
      </w:pPr>
      <w:bookmarkStart w:id="15" w:name="__RefHeading___Toc446495710"/>
      <w:bookmarkEnd w:id="15"/>
      <w:r>
        <w:rPr/>
        <w:t>požadavky na postup realizačních prací a podmínky projektanta pro realizaci díla, jeho uvedení do provozu a provozování během životnosti stavby</w:t>
      </w:r>
    </w:p>
    <w:p>
      <w:pPr>
        <w:pStyle w:val="Prosttext"/>
        <w:spacing w:lineRule="atLeast" w:line="0" w:before="57" w:after="0"/>
        <w:jc w:val="both"/>
        <w:rPr>
          <w:color w:val="000000"/>
        </w:rPr>
      </w:pPr>
      <w:r>
        <w:rPr>
          <w:color w:val="000000"/>
        </w:rPr>
        <w:t>Budou dodrženy technické standardy uvedených použitých ČSN.</w:t>
      </w:r>
    </w:p>
    <w:p>
      <w:pPr>
        <w:pStyle w:val="Normal"/>
        <w:spacing w:lineRule="atLeast" w:line="0" w:before="57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Jednotlivé sekce označit štítky s názvy sekcí, čerpadla popsat v souladu s označením v el. rozvaděči a zvyklostmi investora. Jednotlivá potrubí označit štítky se směrem toku média a s názvem média.</w:t>
      </w:r>
    </w:p>
    <w:p>
      <w:pPr>
        <w:pStyle w:val="Normal"/>
        <w:spacing w:lineRule="atLeast" w:line="0" w:before="57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Doby plného vytápění a útlumu a časový režim vytápění bude nastaven dle skutečných požadavků provozu.</w:t>
      </w:r>
    </w:p>
    <w:p>
      <w:pPr>
        <w:pStyle w:val="Normal"/>
        <w:spacing w:lineRule="atLeast" w:line="0" w:before="57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Obsluha občasná v intervalech stanovených provozním řádem. Obsluha musí být odborně způsobilá, starší 18-ti let a splňovat požadavky příslušných předpisů.</w:t>
      </w:r>
    </w:p>
    <w:p>
      <w:pPr>
        <w:pStyle w:val="Normal"/>
        <w:spacing w:lineRule="atLeast" w:line="0" w:before="57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Provoz zařízení v automatickém režimu dle provozního řádu. Provozní dokumentace pro provoz, údržbu, obsluhu a užívání bude zpracována dle ČSN EN 12170-Tepelné soustavy vyžadující kvalifikovanou obsluhu.</w:t>
      </w:r>
    </w:p>
    <w:p>
      <w:pPr>
        <w:pStyle w:val="Normal"/>
        <w:spacing w:lineRule="atLeast" w:line="0" w:before="57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Provozní dokumentace má zajistit,aby pro tepelnou soustavu byl k dispozici její trvalý popis a soubor návodů a požadavků pro provoz, údržbu, obsluhu a užívání, aby tak byla zajištěna bezpečnost zařízení, hospodárná spotřeba energie a řízení kvality prostředí.</w:t>
      </w:r>
    </w:p>
    <w:p>
      <w:pPr>
        <w:pStyle w:val="Normal"/>
        <w:spacing w:lineRule="atLeast" w:line="0" w:before="57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Dokumentaci zpracovává majitel tepelné soustavy ve spolupráci s pracovníky montáže přejímacími osobami na základě technických podkladů výrobců zařízení a příslušné ČSN.</w:t>
      </w:r>
    </w:p>
    <w:p>
      <w:pPr>
        <w:pStyle w:val="Normal"/>
        <w:spacing w:lineRule="atLeast" w:line="0" w:before="57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Obsluha musí provádět kontrolu v pravidelných lhůtách stanovených provozním řádem. Při signalizaci poruchy nebo odstavení z provozu při poruše zařízení musí obsluha zjistit příčinu, odstranit ji a uvést zařízení do provozu.</w:t>
      </w:r>
    </w:p>
    <w:p>
      <w:pPr>
        <w:pStyle w:val="Normal"/>
        <w:spacing w:lineRule="atLeast" w:line="0" w:before="57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Odborné práce musí provádět pracovníci, kteří jsou vyučeni nebo odborně zaškoleni. Před zahájením prací musí být všichni pracovníci prokazatelně seznámeni  s bezpečnostními předpisy.</w:t>
      </w:r>
    </w:p>
    <w:p>
      <w:pPr>
        <w:pStyle w:val="Normal"/>
        <w:spacing w:lineRule="atLeast" w:line="0" w:before="57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Při realizaci projektu je nutné používat pouze takové výrobky, které splňují požadavky zákonů o technických požadavcích  na výrobky ( prokázání  shody s požadavky norem a předpisů).</w:t>
      </w:r>
    </w:p>
    <w:p>
      <w:pPr>
        <w:pStyle w:val="Normal"/>
        <w:spacing w:lineRule="atLeast" w:line="0" w:before="57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Veškeré instalace musí být provedeny dle platných norem při dodržení technických podmínek a technologických postupů daných výrobci.</w:t>
      </w:r>
    </w:p>
    <w:p>
      <w:pPr>
        <w:pStyle w:val="Normal"/>
        <w:spacing w:lineRule="atLeast" w:line="0" w:before="57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Po provedení stavby bude provedena topná zkouška. Při dokončení mimo topné období se topná zkouška provede až v topném období. Zkoušky se účastní zástupci investora, uživatele, dodavatele. Po ukončení zkoušky se její výsledek zhodnotí a zapíše do protokolu.</w:t>
      </w:r>
    </w:p>
    <w:p>
      <w:pPr>
        <w:pStyle w:val="Normal"/>
        <w:spacing w:lineRule="atLeast" w:line="0" w:before="57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Dodavatel zajistí na své náklady dokumentaci skutečného provedení a dokladové část</w:t>
      </w:r>
      <w:r>
        <w:rPr>
          <w:rFonts w:cs="Times New Roman" w:ascii="Times New Roman" w:hAnsi="Times New Roman"/>
          <w:sz w:val="24"/>
          <w:szCs w:val="24"/>
        </w:rPr>
        <w:t>i a</w:t>
      </w:r>
      <w:r>
        <w:rPr>
          <w:rFonts w:cs="Times New Roman" w:ascii="Times New Roman" w:hAnsi="Times New Roman"/>
          <w:sz w:val="24"/>
          <w:szCs w:val="24"/>
        </w:rPr>
        <w:t xml:space="preserve"> zaškolí obsluhu .</w:t>
      </w:r>
    </w:p>
    <w:p>
      <w:pPr>
        <w:pStyle w:val="Normal"/>
        <w:spacing w:lineRule="atLeast" w:line="0" w:before="57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Součástí každé dodávky je i příslušná dokumentace (atesty vč. atestů požárních odolností a odborné montáže a příslušných záruk, technické parametry, návody k obsluze, prohlášení o shodě, prohlášení o odborné montáži včetně doložení oprávnění k jejímu provádění).</w:t>
      </w:r>
    </w:p>
    <w:p>
      <w:pPr>
        <w:pStyle w:val="Podnadpis"/>
        <w:bidi w:val="0"/>
        <w:spacing w:lineRule="atLeast" w:line="240" w:before="113" w:after="57"/>
        <w:jc w:val="both"/>
        <w:rPr>
          <w:rFonts w:cs="Arial"/>
          <w:szCs w:val="24"/>
        </w:rPr>
      </w:pPr>
      <w:r>
        <w:rPr>
          <w:rFonts w:cs="Arial"/>
          <w:szCs w:val="24"/>
        </w:rPr>
        <w:t>KOMPLEXNÍ ZKOUŠKY</w:t>
      </w:r>
    </w:p>
    <w:p>
      <w:pPr>
        <w:pStyle w:val="Prosttext"/>
        <w:spacing w:lineRule="atLeast" w:line="240" w:before="57" w:after="57"/>
        <w:jc w:val="both"/>
        <w:rPr>
          <w:color w:val="000000"/>
          <w:szCs w:val="24"/>
        </w:rPr>
      </w:pPr>
      <w:r>
        <w:rPr>
          <w:color w:val="000000"/>
          <w:szCs w:val="24"/>
        </w:rPr>
        <w:t>Po úspěšném ukončení všech dílčích provozních zkoušek zařízení v rámci tohoto projektu i všech PS navazujících, je možno přistoupit ke zkouškám komplexním.</w:t>
      </w:r>
    </w:p>
    <w:p>
      <w:pPr>
        <w:pStyle w:val="Prosttext"/>
        <w:spacing w:lineRule="atLeast" w:line="240" w:before="57" w:after="57"/>
        <w:jc w:val="both"/>
        <w:rPr>
          <w:color w:val="000000"/>
          <w:szCs w:val="24"/>
        </w:rPr>
      </w:pPr>
      <w:r>
        <w:rPr>
          <w:color w:val="000000"/>
          <w:szCs w:val="24"/>
        </w:rPr>
        <w:t>Účelem  komplexních zkoušek je prokázat, že technologická zařízení, montovaná dle schválené projektové dokumentace mají požadované technické parametry a jako celek jsou schopna trvalého provozu dle projektovaných podmínek.</w:t>
      </w:r>
    </w:p>
    <w:p>
      <w:pPr>
        <w:pStyle w:val="TextOdst"/>
        <w:spacing w:lineRule="atLeast" w:line="238" w:before="170" w:after="57"/>
        <w:ind w:hanging="0" w:start="0" w:end="0"/>
        <w:jc w:val="both"/>
        <w:rPr>
          <w:rFonts w:ascii="Arial" w:hAnsi="Arial" w:cs="Arial"/>
          <w:b/>
          <w:bCs/>
          <w:iCs/>
          <w:sz w:val="24"/>
        </w:rPr>
      </w:pPr>
      <w:r>
        <w:rPr>
          <w:rFonts w:cs="Arial" w:ascii="Arial" w:hAnsi="Arial"/>
          <w:b/>
          <w:bCs/>
          <w:iCs/>
          <w:sz w:val="24"/>
        </w:rPr>
        <w:t>REVIZE</w:t>
      </w:r>
    </w:p>
    <w:p>
      <w:pPr>
        <w:pStyle w:val="TextOdst"/>
        <w:spacing w:lineRule="atLeast" w:line="0" w:before="57" w:after="0"/>
        <w:ind w:hanging="0" w:start="0" w:end="0"/>
        <w:jc w:val="both"/>
        <w:rPr>
          <w:sz w:val="24"/>
          <w:szCs w:val="24"/>
          <w:lang w:val="cs-CZ" w:eastAsia="cs-CZ"/>
        </w:rPr>
      </w:pPr>
      <w:r>
        <w:rPr>
          <w:sz w:val="24"/>
          <w:szCs w:val="24"/>
          <w:lang w:val="cs-CZ" w:eastAsia="cs-CZ"/>
        </w:rPr>
        <w:t xml:space="preserve">Výchozí revizi provede dodavatel montážních prací podle ČSN 33 1500 a podle ČSN 33 2000-6-61 </w:t>
      </w:r>
      <w:r>
        <w:rPr>
          <w:sz w:val="24"/>
          <w:szCs w:val="24"/>
          <w:lang w:val="cs-CZ" w:eastAsia="cs-CZ"/>
        </w:rPr>
        <w:t>ed.2</w:t>
      </w:r>
      <w:r>
        <w:rPr>
          <w:sz w:val="24"/>
          <w:szCs w:val="24"/>
          <w:lang w:val="cs-CZ" w:eastAsia="cs-CZ"/>
        </w:rPr>
        <w:t>. Další revize (periodické) bude provádět provozovatel ve stanovených lhůtách a po každé opravě vyvolané poruchou, či poškozením elektrického zařízení.</w:t>
      </w:r>
    </w:p>
    <w:p>
      <w:pPr>
        <w:pStyle w:val="Nadpiszkladn"/>
        <w:tabs>
          <w:tab w:val="clear" w:pos="284"/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  <w:tab w:val="clear" w:pos="5670"/>
          <w:tab w:val="clear" w:pos="6237"/>
          <w:tab w:val="clear" w:pos="6804"/>
          <w:tab w:val="clear" w:pos="7371"/>
        </w:tabs>
        <w:spacing w:before="240" w:after="0"/>
        <w:rPr>
          <w:rFonts w:cs="Arial"/>
          <w:b/>
          <w:bCs/>
          <w:iCs/>
        </w:rPr>
      </w:pPr>
      <w:r>
        <w:rPr>
          <w:rFonts w:cs="Arial"/>
          <w:b/>
          <w:bCs/>
          <w:iCs/>
        </w:rPr>
        <w:t>POŽADAVKY NA OSTATNÍ DODAVATELE</w:t>
      </w:r>
    </w:p>
    <w:p>
      <w:pPr>
        <w:pStyle w:val="Nadpiszkladn"/>
        <w:keepNext w:val="false"/>
        <w:keepLines w:val="false"/>
        <w:tabs>
          <w:tab w:val="clear" w:pos="284"/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  <w:tab w:val="clear" w:pos="5670"/>
          <w:tab w:val="clear" w:pos="6237"/>
          <w:tab w:val="clear" w:pos="6804"/>
          <w:tab w:val="clear" w:pos="7371"/>
        </w:tabs>
        <w:spacing w:before="120" w:after="0"/>
        <w:rPr/>
      </w:pPr>
      <w:r>
        <w:rPr>
          <w:rFonts w:cs="Times New Roman" w:ascii="Times New Roman" w:hAnsi="Times New Roman"/>
          <w:spacing w:val="0"/>
          <w:kern w:val="0"/>
        </w:rPr>
        <w:t xml:space="preserve">Profese elektro zajistí jištěný přívod do </w:t>
      </w:r>
      <w:r>
        <w:rPr>
          <w:rFonts w:cs="Times New Roman" w:ascii="Times New Roman" w:hAnsi="Times New Roman"/>
          <w:spacing w:val="0"/>
          <w:kern w:val="0"/>
        </w:rPr>
        <w:t xml:space="preserve">autonomního </w:t>
      </w:r>
      <w:r>
        <w:rPr>
          <w:rFonts w:cs="Times New Roman" w:ascii="Times New Roman" w:hAnsi="Times New Roman"/>
          <w:spacing w:val="0"/>
          <w:kern w:val="0"/>
        </w:rPr>
        <w:t>rozvaděč</w:t>
      </w:r>
      <w:r>
        <w:rPr>
          <w:rFonts w:cs="Times New Roman" w:ascii="Times New Roman" w:hAnsi="Times New Roman"/>
          <w:spacing w:val="0"/>
          <w:kern w:val="0"/>
        </w:rPr>
        <w:t>e</w:t>
      </w:r>
      <w:r>
        <w:rPr>
          <w:rFonts w:cs="Times New Roman" w:ascii="Times New Roman" w:hAnsi="Times New Roman"/>
          <w:spacing w:val="0"/>
          <w:kern w:val="0"/>
        </w:rPr>
        <w:t xml:space="preserve"> MaR ze sítě </w:t>
      </w:r>
      <w:r>
        <w:rPr>
          <w:rFonts w:cs="Times New Roman" w:ascii="Times New Roman" w:hAnsi="Times New Roman"/>
        </w:rPr>
        <w:t>TN-C-S 3L+PE+N 400V, 50 Hz dle části 8</w:t>
      </w:r>
      <w:r>
        <w:rPr>
          <w:rFonts w:cs="Times New Roman" w:ascii="Times New Roman" w:hAnsi="Times New Roman"/>
          <w:spacing w:val="0"/>
          <w:kern w:val="0"/>
        </w:rPr>
        <w:t>.</w:t>
      </w:r>
    </w:p>
    <w:p>
      <w:pPr>
        <w:pStyle w:val="Nadpiszkladn"/>
        <w:keepNext w:val="false"/>
        <w:keepLines w:val="false"/>
        <w:tabs>
          <w:tab w:val="clear" w:pos="284"/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  <w:tab w:val="clear" w:pos="5670"/>
          <w:tab w:val="clear" w:pos="6237"/>
          <w:tab w:val="clear" w:pos="6804"/>
          <w:tab w:val="clear" w:pos="7371"/>
        </w:tabs>
        <w:spacing w:before="120" w:after="0"/>
        <w:rPr/>
      </w:pPr>
      <w:r>
        <w:rPr>
          <w:rFonts w:cs="Times New Roman" w:ascii="Times New Roman" w:hAnsi="Times New Roman"/>
          <w:spacing w:val="0"/>
          <w:kern w:val="0"/>
        </w:rPr>
        <w:t xml:space="preserve">Jištění bude v rozvaděči elektro, </w:t>
      </w:r>
      <w:r>
        <w:rPr>
          <w:rFonts w:cs="Times New Roman" w:ascii="Times New Roman" w:hAnsi="Times New Roman"/>
        </w:rPr>
        <w:t xml:space="preserve"> předřazeny budou přepěťové ochrany stupeň  T1 a T2 (B,C)</w:t>
      </w:r>
    </w:p>
    <w:p>
      <w:pPr>
        <w:pStyle w:val="Nadpiszkladn"/>
        <w:keepNext w:val="false"/>
        <w:keepLines w:val="false"/>
        <w:tabs>
          <w:tab w:val="clear" w:pos="284"/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  <w:tab w:val="clear" w:pos="5670"/>
          <w:tab w:val="clear" w:pos="6237"/>
          <w:tab w:val="clear" w:pos="6804"/>
          <w:tab w:val="clear" w:pos="7371"/>
        </w:tabs>
        <w:spacing w:before="120" w:after="0"/>
        <w:rPr/>
      </w:pPr>
      <w:r>
        <w:rPr>
          <w:rFonts w:cs="Times New Roman" w:ascii="Times New Roman" w:hAnsi="Times New Roman"/>
          <w:spacing w:val="0"/>
          <w:kern w:val="0"/>
        </w:rPr>
        <w:t xml:space="preserve">Profese elektro </w:t>
      </w:r>
      <w:r>
        <w:rPr>
          <w:rFonts w:cs="Times New Roman" w:ascii="Times New Roman" w:hAnsi="Times New Roman"/>
          <w:spacing w:val="0"/>
          <w:kern w:val="0"/>
        </w:rPr>
        <w:t xml:space="preserve">dále </w:t>
      </w:r>
      <w:r>
        <w:rPr>
          <w:rFonts w:cs="Times New Roman" w:ascii="Times New Roman" w:hAnsi="Times New Roman"/>
          <w:spacing w:val="0"/>
          <w:kern w:val="0"/>
        </w:rPr>
        <w:t>zajistí dále jištěn</w:t>
      </w:r>
      <w:r>
        <w:rPr>
          <w:rFonts w:cs="Times New Roman" w:ascii="Times New Roman" w:hAnsi="Times New Roman"/>
          <w:spacing w:val="0"/>
          <w:kern w:val="0"/>
        </w:rPr>
        <w:t>ý</w:t>
      </w:r>
      <w:r>
        <w:rPr>
          <w:rFonts w:cs="Times New Roman" w:ascii="Times New Roman" w:hAnsi="Times New Roman"/>
          <w:spacing w:val="0"/>
          <w:kern w:val="0"/>
        </w:rPr>
        <w:t xml:space="preserve"> přívod </w:t>
      </w:r>
      <w:r>
        <w:rPr>
          <w:rFonts w:cs="Times New Roman" w:ascii="Times New Roman" w:hAnsi="Times New Roman"/>
          <w:spacing w:val="0"/>
          <w:kern w:val="0"/>
        </w:rPr>
        <w:t>230V/</w:t>
      </w:r>
      <w:r>
        <w:rPr>
          <w:rFonts w:cs="Times New Roman" w:ascii="Times New Roman" w:hAnsi="Times New Roman"/>
          <w:spacing w:val="0"/>
          <w:kern w:val="0"/>
        </w:rPr>
        <w:t>10</w:t>
      </w:r>
      <w:r>
        <w:rPr>
          <w:rFonts w:cs="Times New Roman" w:ascii="Times New Roman" w:hAnsi="Times New Roman"/>
          <w:spacing w:val="0"/>
          <w:kern w:val="0"/>
        </w:rPr>
        <w:t xml:space="preserve">A </w:t>
      </w:r>
      <w:r>
        <w:rPr>
          <w:rFonts w:cs="Times New Roman" w:ascii="Times New Roman" w:hAnsi="Times New Roman"/>
          <w:spacing w:val="0"/>
          <w:kern w:val="0"/>
        </w:rPr>
        <w:t xml:space="preserve">k </w:t>
      </w:r>
      <w:r>
        <w:rPr>
          <w:rFonts w:cs="Times New Roman" w:ascii="Times New Roman" w:hAnsi="Times New Roman"/>
          <w:spacing w:val="0"/>
          <w:kern w:val="0"/>
        </w:rPr>
        <w:t xml:space="preserve">Dxkitu -ovládací skříňce pro chlazení VZT </w:t>
      </w:r>
      <w:r>
        <w:rPr>
          <w:rFonts w:eastAsia="Times New Roman" w:cs="Times New Roman" w:ascii="Times New Roman" w:hAnsi="Times New Roman"/>
          <w:color w:val="auto"/>
          <w:spacing w:val="0"/>
          <w:kern w:val="0"/>
          <w:sz w:val="24"/>
          <w:szCs w:val="20"/>
          <w:lang w:val="cs-CZ" w:eastAsia="zh-CN" w:bidi="ar-SA"/>
        </w:rPr>
        <w:t xml:space="preserve"> </w:t>
      </w:r>
      <w:r>
        <w:rPr>
          <w:rFonts w:eastAsia="Times New Roman" w:cs="Times New Roman" w:ascii="Times New Roman" w:hAnsi="Times New Roman"/>
          <w:color w:val="auto"/>
          <w:spacing w:val="0"/>
          <w:kern w:val="0"/>
          <w:sz w:val="24"/>
          <w:szCs w:val="20"/>
          <w:lang w:val="cs-CZ" w:eastAsia="zh-CN" w:bidi="ar-SA"/>
        </w:rPr>
        <w:t>a silové připojení</w:t>
      </w:r>
      <w:r>
        <w:rPr>
          <w:rFonts w:eastAsia="Times New Roman" w:cs="Times New Roman" w:ascii="Times New Roman" w:hAnsi="Times New Roman"/>
          <w:b w:val="false"/>
          <w:bCs w:val="false"/>
          <w:iCs/>
          <w:color w:val="auto"/>
          <w:spacing w:val="0"/>
          <w:kern w:val="0"/>
          <w:sz w:val="24"/>
          <w:szCs w:val="20"/>
          <w:u w:val="none"/>
          <w:lang w:val="cs-CZ" w:eastAsia="zh-CN" w:bidi="ar-SA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Cs/>
          <w:color w:val="auto"/>
          <w:spacing w:val="0"/>
          <w:kern w:val="0"/>
          <w:sz w:val="24"/>
          <w:szCs w:val="20"/>
          <w:u w:val="none"/>
          <w:lang w:val="cs-CZ" w:eastAsia="zh-CN" w:bidi="ar-SA"/>
        </w:rPr>
        <w:t xml:space="preserve">příslušné </w:t>
      </w:r>
      <w:r>
        <w:rPr>
          <w:rFonts w:eastAsia="Times New Roman" w:cs="Times New Roman" w:ascii="Times New Roman" w:hAnsi="Times New Roman"/>
          <w:b w:val="false"/>
          <w:bCs w:val="false"/>
          <w:iCs/>
          <w:color w:val="auto"/>
          <w:spacing w:val="0"/>
          <w:kern w:val="0"/>
          <w:sz w:val="24"/>
          <w:szCs w:val="20"/>
          <w:u w:val="none"/>
          <w:lang w:val="cs-CZ" w:eastAsia="zh-CN" w:bidi="ar-SA"/>
        </w:rPr>
        <w:t>kondenzační jednotk</w:t>
      </w:r>
      <w:r>
        <w:rPr>
          <w:rFonts w:eastAsia="Times New Roman" w:cs="Times New Roman" w:ascii="Times New Roman" w:hAnsi="Times New Roman"/>
          <w:b w:val="false"/>
          <w:bCs w:val="false"/>
          <w:iCs/>
          <w:color w:val="auto"/>
          <w:spacing w:val="0"/>
          <w:kern w:val="0"/>
          <w:sz w:val="24"/>
          <w:szCs w:val="20"/>
          <w:u w:val="none"/>
          <w:lang w:val="cs-CZ" w:eastAsia="zh-CN" w:bidi="ar-SA"/>
        </w:rPr>
        <w:t>y</w:t>
      </w:r>
      <w:r>
        <w:rPr>
          <w:rFonts w:eastAsia="Times New Roman" w:cs="Times New Roman" w:ascii="Times New Roman" w:hAnsi="Times New Roman"/>
          <w:b w:val="false"/>
          <w:bCs w:val="false"/>
          <w:iCs/>
          <w:color w:val="auto"/>
          <w:spacing w:val="0"/>
          <w:kern w:val="0"/>
          <w:sz w:val="24"/>
          <w:szCs w:val="20"/>
          <w:u w:val="none"/>
          <w:lang w:val="cs-CZ" w:eastAsia="zh-CN" w:bidi="ar-SA"/>
        </w:rPr>
        <w:t>.</w:t>
      </w:r>
    </w:p>
    <w:p>
      <w:pPr>
        <w:pStyle w:val="Nadpiszkladn"/>
        <w:keepNext w:val="false"/>
        <w:keepLines w:val="false"/>
        <w:tabs>
          <w:tab w:val="clear" w:pos="284"/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  <w:tab w:val="clear" w:pos="5670"/>
          <w:tab w:val="clear" w:pos="6237"/>
          <w:tab w:val="clear" w:pos="6804"/>
          <w:tab w:val="clear" w:pos="7371"/>
        </w:tabs>
        <w:spacing w:before="240" w:after="0"/>
        <w:jc w:val="both"/>
        <w:rPr>
          <w:rFonts w:eastAsia="Times New Roman" w:cs="Arial"/>
          <w:b/>
          <w:bCs/>
          <w:iCs/>
          <w:color w:val="auto"/>
          <w:spacing w:val="-10"/>
          <w:kern w:val="2"/>
          <w:sz w:val="24"/>
          <w:szCs w:val="20"/>
          <w:lang w:val="cs-CZ" w:eastAsia="zh-CN" w:bidi="ar-SA"/>
        </w:rPr>
      </w:pPr>
      <w:r>
        <w:rPr>
          <w:rFonts w:eastAsia="Times New Roman" w:cs="Arial"/>
          <w:b/>
          <w:bCs/>
          <w:iCs/>
          <w:color w:val="auto"/>
          <w:spacing w:val="-10"/>
          <w:kern w:val="2"/>
          <w:sz w:val="24"/>
          <w:szCs w:val="20"/>
          <w:lang w:val="cs-CZ" w:eastAsia="zh-CN" w:bidi="ar-SA"/>
        </w:rPr>
        <w:t>ZÁVĚR</w:t>
      </w:r>
    </w:p>
    <w:p>
      <w:pPr>
        <w:pStyle w:val="Zkladntextodsazen3"/>
        <w:spacing w:lineRule="atLeast" w:line="0" w:before="57" w:after="0"/>
        <w:ind w:hanging="0" w:start="0" w:end="0"/>
        <w:jc w:val="both"/>
        <w:rPr/>
      </w:pPr>
      <w:r>
        <w:rPr>
          <w:rFonts w:cs="Times New Roman"/>
          <w:sz w:val="24"/>
          <w:szCs w:val="24"/>
        </w:rPr>
        <w:t xml:space="preserve">Tento projekt provedení stavby část </w:t>
      </w:r>
      <w:r>
        <w:rPr>
          <w:rFonts w:eastAsia="Times New Roman" w:cs="Times New Roman"/>
          <w:color w:val="auto"/>
          <w:sz w:val="24"/>
          <w:szCs w:val="24"/>
          <w:lang w:val="cs-CZ" w:eastAsia="zh-CN" w:bidi="ar-SA"/>
        </w:rPr>
        <w:t>měření a regulace</w:t>
      </w:r>
      <w:r>
        <w:rPr>
          <w:rFonts w:cs="Times New Roman"/>
          <w:sz w:val="24"/>
          <w:szCs w:val="24"/>
        </w:rPr>
        <w:t>, obsahuje veškeré náležitosti, které ze zákonných ustanovení, směrnic i obecných požadavků na tento projektový stupeň má obsahovat.</w:t>
      </w:r>
    </w:p>
    <w:p>
      <w:pPr>
        <w:pStyle w:val="Zkladntextodsazen3"/>
        <w:spacing w:lineRule="atLeast" w:line="0" w:before="57" w:after="0"/>
        <w:ind w:hanging="0" w:start="0" w:end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V případě jeho využití k jiným účelům nebere zpracovatel jakékoli záruky na případné škody vzniklé jeho využitím k účelu, pro který nebyl zpracován. Dodavatel stavby zajistí zaškolení obsluhy  - provozovatele zařízení včetně předání návodů k obsluze za všech provozních podmínek.</w:t>
      </w:r>
    </w:p>
    <w:p>
      <w:pPr>
        <w:pStyle w:val="Normal"/>
        <w:autoSpaceDE w:val="false"/>
        <w:spacing w:lineRule="atLeast" w:line="0" w:before="57" w:after="0"/>
        <w:ind w:hanging="0" w:start="0" w:end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Dodavatel si zajistí dokumentaci pro realizaci stavby upravenou dle podkladů a návodů na montáž dodavatelů vzešlých z výběrového řízení. Zařízené uvedené v projektové dokumentaci slouží jako kvalitativní a výkonnostní vzor. V rámci dodávek bude brán ohled na rámcové servisní smlouvy investora pro ČR.</w:t>
      </w:r>
    </w:p>
    <w:p>
      <w:pPr>
        <w:pStyle w:val="Normal"/>
        <w:autoSpaceDE w:val="false"/>
        <w:spacing w:lineRule="atLeast" w:line="0" w:before="57" w:after="0"/>
        <w:ind w:hanging="0" w:start="0" w:end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Projekt je zpracován za předpokladu, že následnými pracemi dle této dokumentace bude pověřena odborná firma, která má dostatečné znalosti, zkušenosti a předpoklady (odborné i technické) k realizaci díla daného rozsahu a profesí. Projektová dokumentace předepisuje technické parametry zařízení </w:t>
      </w:r>
      <w:r>
        <w:rPr>
          <w:rFonts w:eastAsia="Times New Roman" w:cs="Times New Roman" w:ascii="Times New Roman" w:hAnsi="Times New Roman"/>
          <w:color w:val="auto"/>
          <w:sz w:val="24"/>
          <w:szCs w:val="24"/>
          <w:lang w:val="cs-CZ" w:eastAsia="zh-CN" w:bidi="ar-SA"/>
        </w:rPr>
        <w:t>měření a regulace</w:t>
      </w:r>
      <w:r>
        <w:rPr>
          <w:rFonts w:cs="Times New Roman" w:ascii="Times New Roman" w:hAnsi="Times New Roman"/>
          <w:sz w:val="24"/>
          <w:szCs w:val="24"/>
        </w:rPr>
        <w:t xml:space="preserve"> a také určuje použitá zařízení jako předpokládané standardy. Pokud zhotovitel bude provádět změny parametrů zařízení, nebo záměny výrobků v rozporu s touto dokumentací, tak je vždy nutné si vyžádat souhlas zadavatele (investora) a podrobně ho seznámit se zamýšlenými změnami a úpravami. O každé takové změně je také nutné provést prokazatelný zápis například do stavebního deníku a zajistit opravu příslušné dokumentace. V případě změny, nebo úpravy projektu nemůže v žádném případě projektant nést odpovědnost za změny, které písemně neodsouhlasil. Povinností zhotovitele je se důkladně seznámit s projektovou dokumentací. V případě jakýchkoli nejasností, nebo rozporů v dokumentaci je povinností zhotovitele vznést dotaz, nebo připomínku na zadavatele (investora) a tyto nejasnosti upřesnit před zahájením montážních prací. Pokud tak zhotovitel neučiní, tak se předpokládá, že je s dokumentací řádně seznámen a následné montážní a dodavatelské práce bude provádět dle příslušné odsouhlasené prováděcí dokumentace. Předpokládá se, že již v rámci výběrového řízení nabízející zahrne vše potřebné pro vybudování kompletního a plně funkčního díla.</w:t>
      </w:r>
    </w:p>
    <w:p>
      <w:pPr>
        <w:pStyle w:val="Normal"/>
        <w:autoSpaceDE w:val="false"/>
        <w:spacing w:lineRule="atLeast" w:line="0" w:before="113" w:after="57"/>
        <w:jc w:val="both"/>
        <w:rPr>
          <w:rFonts w:ascii="Arial" w:hAnsi="Arial" w:eastAsia="Times New Roman" w:cs="Times New Roman"/>
          <w:b/>
          <w:bCs/>
          <w:iCs/>
          <w:color w:val="auto"/>
          <w:spacing w:val="-10"/>
          <w:kern w:val="2"/>
          <w:sz w:val="24"/>
          <w:szCs w:val="24"/>
          <w:lang w:val="cs-CZ" w:eastAsia="zh-CN" w:bidi="ar-SA"/>
        </w:rPr>
      </w:pPr>
      <w:r>
        <w:rPr>
          <w:rFonts w:eastAsia="Times New Roman" w:cs="Times New Roman" w:ascii="Arial" w:hAnsi="Arial"/>
          <w:b/>
          <w:bCs/>
          <w:iCs/>
          <w:color w:val="auto"/>
          <w:spacing w:val="-10"/>
          <w:kern w:val="2"/>
          <w:sz w:val="24"/>
          <w:szCs w:val="24"/>
          <w:lang w:val="cs-CZ" w:eastAsia="zh-CN" w:bidi="ar-SA"/>
        </w:rPr>
        <w:t>POZNÁMKA</w:t>
      </w:r>
    </w:p>
    <w:p>
      <w:pPr>
        <w:pStyle w:val="Normal"/>
        <w:autoSpaceDE w:val="false"/>
        <w:spacing w:lineRule="atLeast" w:line="0" w:before="0" w:after="57"/>
        <w:jc w:val="both"/>
        <w:rPr>
          <w:rFonts w:ascii="Times New Roman" w:hAnsi="Times New Roman" w:cs="Times New Roman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cs="Times New Roman" w:ascii="Times New Roman" w:hAnsi="Times New Roman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Jsou-li v dokumentaci uvedeny odkazy na obchodní firmy, názvy nebo specifická označení výrobků apod., jsou takové odkazy pouze informativní a zhotoviteli umožňují  v souladu se zákonem č. 55/2012 Sb. ve znění pozdějších předpisů použít i jiné výrobky kvalitně a technicky srovnatelné, popřípadě srovnatelná řešení.</w:t>
      </w:r>
    </w:p>
    <w:sectPr>
      <w:headerReference w:type="default" r:id="rId3"/>
      <w:footerReference w:type="default" r:id="rId4"/>
      <w:type w:val="nextPage"/>
      <w:pgSz w:w="11906" w:h="16838"/>
      <w:pgMar w:left="1080" w:right="926" w:gutter="0" w:header="360" w:top="1206" w:footer="136" w:bottom="143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Arial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Symbol">
    <w:charset w:val="ee" w:characterSet="windows-1250"/>
    <w:family w:val="roman"/>
    <w:pitch w:val="variable"/>
  </w:font>
  <w:font w:name="Courier New">
    <w:charset w:val="ee" w:characterSet="windows-1250"/>
    <w:family w:val="roman"/>
    <w:pitch w:val="variable"/>
  </w:font>
  <w:font w:name="Wingdings">
    <w:charset w:val="ee" w:characterSet="windows-1250"/>
    <w:family w:val="roman"/>
    <w:pitch w:val="variable"/>
  </w:font>
  <w:font w:name="Tahoma">
    <w:charset w:val="ee" w:characterSet="windows-1250"/>
    <w:family w:val="roman"/>
    <w:pitch w:val="variable"/>
  </w:font>
  <w:font w:name="OpenSymbol">
    <w:altName w:val="Arial Unicode MS"/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roman"/>
    <w:pitch w:val="variable"/>
  </w:font>
  <w:font w:name="Arial Unicode MS">
    <w:altName w:val="Malgun Gothic Semilight"/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  <w:font w:name="Arial">
    <w:altName w:val="Verdana"/>
    <w:charset w:val="ee" w:characterSet="windows-1250"/>
    <w:family w:val="auto"/>
    <w:pitch w:val="default"/>
  </w:font>
  <w:font w:name="Arial">
    <w:charset w:val="01"/>
    <w:family w:val="swiss"/>
    <w:pitch w:val="variable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  <w:left w:val="single" w:sz="4" w:space="0" w:color="000000"/>
        <w:bottom w:val="single" w:sz="4" w:space="1" w:color="000000"/>
        <w:right w:val="single" w:sz="4" w:space="2" w:color="000000"/>
      </w:pBdr>
      <w:shd w:fill="D8D8D8" w:val="clear"/>
      <w:tabs>
        <w:tab w:val="clear" w:pos="720"/>
        <w:tab w:val="right" w:pos="9498" w:leader="none"/>
      </w:tabs>
      <w:jc w:val="center"/>
      <w:rPr/>
    </w:pPr>
    <w:r>
      <w:rPr>
        <w:rFonts w:cs="Times New Roman" w:ascii="Times New Roman" w:hAnsi="Times New Roman"/>
        <w:sz w:val="24"/>
      </w:rPr>
      <w:t xml:space="preserve">Vypracoval: Jan Šimůnek,  </w:t>
    </w:r>
    <w:r>
      <w:rPr>
        <w:rFonts w:cs="Arial"/>
        <w:b/>
        <w:bCs/>
        <w:i/>
        <w:iCs/>
        <w:sz w:val="24"/>
      </w:rPr>
      <w:t>SIL</w:t>
    </w:r>
    <w:r>
      <w:rPr>
        <w:rFonts w:cs="Times New Roman" w:ascii="Times New Roman" w:hAnsi="Times New Roman"/>
        <w:sz w:val="24"/>
      </w:rPr>
      <w:t xml:space="preserve"> spol. s r.o., Liberec 3, U Besedy 8, 460 01,  tel. +420 48 48 49 847                  e-mail: silmar@volny.cz</w:t>
    </w:r>
  </w:p>
  <w:p>
    <w:pPr>
      <w:pStyle w:val="Normal"/>
      <w:tabs>
        <w:tab w:val="clear" w:pos="720"/>
        <w:tab w:val="right" w:pos="9923" w:leader="none"/>
      </w:tabs>
      <w:ind w:hanging="0" w:start="0" w:end="360"/>
      <w:rPr/>
    </w:pPr>
    <w:r>
      <w:rPr>
        <w:rFonts w:cs="Times New Roman" w:ascii="Times New Roman" w:hAnsi="Times New Roman"/>
        <w:sz w:val="24"/>
      </w:rPr>
      <w:t xml:space="preserve">  </w:t>
    </w:r>
    <w:r>
      <w:rPr>
        <w:rFonts w:cs="Times New Roman" w:ascii="Times New Roman" w:hAnsi="Times New Roman"/>
        <w:sz w:val="24"/>
      </w:rPr>
      <w:tab/>
      <w:t xml:space="preserve">Strana </w:t>
    </w:r>
    <w:r>
      <w:rPr>
        <w:rStyle w:val="PageNumber"/>
        <w:rFonts w:cs="Times New Roman" w:ascii="Times New Roman" w:hAnsi="Times New Roman"/>
        <w:sz w:val="24"/>
      </w:rPr>
      <w:fldChar w:fldCharType="begin"/>
    </w:r>
    <w:r>
      <w:rPr>
        <w:rStyle w:val="PageNumber"/>
        <w:sz w:val="24"/>
        <w:rFonts w:cs="Times New Roman" w:ascii="Times New Roman" w:hAnsi="Times New Roman"/>
      </w:rPr>
      <w:instrText xml:space="preserve"> PAGE </w:instrText>
    </w:r>
    <w:r>
      <w:rPr>
        <w:rStyle w:val="PageNumber"/>
        <w:sz w:val="24"/>
        <w:rFonts w:cs="Times New Roman" w:ascii="Times New Roman" w:hAnsi="Times New Roman"/>
      </w:rPr>
      <w:fldChar w:fldCharType="separate"/>
    </w:r>
    <w:r>
      <w:rPr>
        <w:rStyle w:val="PageNumber"/>
        <w:sz w:val="24"/>
        <w:rFonts w:cs="Times New Roman" w:ascii="Times New Roman" w:hAnsi="Times New Roman"/>
      </w:rPr>
      <w:t>11</w:t>
    </w:r>
    <w:r>
      <w:rPr>
        <w:rStyle w:val="PageNumber"/>
        <w:sz w:val="24"/>
        <w:rFonts w:cs="Times New Roman" w:ascii="Times New Roman" w:hAnsi="Times New Roman"/>
      </w:rPr>
      <w:fldChar w:fldCharType="end"/>
    </w:r>
  </w:p>
  <w:p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cs="Times New Roman" w:ascii="Times New Roman" w:hAnsi="Times New Roman"/>
        <w:sz w:val="16"/>
        <w:szCs w:val="16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fill="DFDFDF" w:val="clear"/>
      <w:jc w:val="center"/>
      <w:rPr>
        <w:rFonts w:ascii="Times New Roman" w:hAnsi="Times New Roman" w:cs="Times New Roman"/>
        <w:b/>
        <w:bCs/>
        <w:sz w:val="24"/>
      </w:rPr>
    </w:pPr>
    <w:r>
      <w:rPr>
        <w:rFonts w:cs="Times New Roman" w:ascii="Times New Roman" w:hAnsi="Times New Roman"/>
        <w:b/>
        <w:bCs/>
        <w:sz w:val="24"/>
      </w:rPr>
      <w:t>Administrativní objekt URAN LIBEREC, Odbor sociální péče</w:t>
    </w:r>
  </w:p>
  <w:p>
    <w:pPr>
      <w:pStyle w:val="Normal"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fill="DFDFDF" w:val="clear"/>
      <w:jc w:val="center"/>
      <w:rPr>
        <w:rFonts w:ascii="Times New Roman" w:hAnsi="Times New Roman" w:cs="Times New Roman"/>
        <w:sz w:val="24"/>
      </w:rPr>
    </w:pPr>
    <w:r>
      <w:rPr>
        <w:rFonts w:cs="Times New Roman" w:ascii="Times New Roman" w:hAnsi="Times New Roman"/>
        <w:sz w:val="24"/>
      </w:rPr>
      <w:t>D.1.</w:t>
    </w:r>
    <w:r>
      <w:rPr>
        <w:rFonts w:cs="Times New Roman" w:ascii="Times New Roman" w:hAnsi="Times New Roman"/>
        <w:sz w:val="24"/>
      </w:rPr>
      <w:t>2</w:t>
    </w:r>
    <w:r>
      <w:rPr>
        <w:rFonts w:cs="Times New Roman" w:ascii="Times New Roman" w:hAnsi="Times New Roman"/>
        <w:sz w:val="24"/>
      </w:rPr>
      <w:t>.</w:t>
    </w:r>
    <w:r>
      <w:rPr>
        <w:rFonts w:cs="Times New Roman" w:ascii="Times New Roman" w:hAnsi="Times New Roman"/>
        <w:sz w:val="24"/>
      </w:rPr>
      <w:t>8</w:t>
    </w:r>
    <w:r>
      <w:rPr>
        <w:rFonts w:cs="Times New Roman" w:ascii="Times New Roman" w:hAnsi="Times New Roman"/>
        <w:sz w:val="24"/>
      </w:rPr>
      <w:t xml:space="preserve"> -</w:t>
    </w:r>
    <w:r>
      <w:rPr>
        <w:rFonts w:cs="Times New Roman" w:ascii="Times New Roman" w:hAnsi="Times New Roman"/>
        <w:sz w:val="24"/>
      </w:rPr>
      <w:t>MaR -</w:t>
    </w:r>
    <w:r>
      <w:rPr>
        <w:rFonts w:cs="Times New Roman" w:ascii="Times New Roman" w:hAnsi="Times New Roman"/>
        <w:sz w:val="24"/>
      </w:rPr>
      <w:t>MĚŘENÍ A REGULACE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decimal"/>
      <w:lvlText w:val="%1)"/>
      <w:lvlJc w:val="start"/>
      <w:pPr>
        <w:tabs>
          <w:tab w:val="num" w:pos="0"/>
        </w:tabs>
        <w:ind w:start="360" w:hanging="36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abstractNum w:abstractNumId="2">
    <w:lvl w:ilvl="0">
      <w:start w:val="1"/>
      <w:numFmt w:val="lowerLetter"/>
      <w:lvlText w:val="%1)"/>
      <w:lvlJc w:val="start"/>
      <w:pPr>
        <w:tabs>
          <w:tab w:val="num" w:pos="754"/>
        </w:tabs>
        <w:ind w:start="754" w:hanging="397"/>
      </w:pPr>
    </w:lvl>
    <w:lvl w:ilvl="1">
      <w:start w:val="1"/>
      <w:numFmt w:val="lowerLetter"/>
      <w:lvlText w:val="%2."/>
      <w:lvlJc w:val="start"/>
      <w:pPr>
        <w:tabs>
          <w:tab w:val="num" w:pos="1151"/>
        </w:tabs>
        <w:ind w:start="1151" w:hanging="397"/>
      </w:pPr>
      <w:rPr/>
    </w:lvl>
    <w:lvl w:ilvl="2">
      <w:start w:val="1"/>
      <w:numFmt w:val="lowerLetter"/>
      <w:lvlText w:val="%3."/>
      <w:lvlJc w:val="start"/>
      <w:pPr>
        <w:tabs>
          <w:tab w:val="num" w:pos="1548"/>
        </w:tabs>
        <w:ind w:start="1548" w:hanging="397"/>
      </w:pPr>
      <w:rPr/>
    </w:lvl>
    <w:lvl w:ilvl="3">
      <w:start w:val="1"/>
      <w:numFmt w:val="lowerLetter"/>
      <w:lvlText w:val="%4."/>
      <w:lvlJc w:val="start"/>
      <w:pPr>
        <w:tabs>
          <w:tab w:val="num" w:pos="1945"/>
        </w:tabs>
        <w:ind w:start="1945" w:hanging="397"/>
      </w:pPr>
      <w:rPr/>
    </w:lvl>
    <w:lvl w:ilvl="4">
      <w:start w:val="1"/>
      <w:numFmt w:val="lowerLetter"/>
      <w:lvlText w:val="%5."/>
      <w:lvlJc w:val="start"/>
      <w:pPr>
        <w:tabs>
          <w:tab w:val="num" w:pos="2342"/>
        </w:tabs>
        <w:ind w:start="2342" w:hanging="397"/>
      </w:pPr>
      <w:rPr/>
    </w:lvl>
    <w:lvl w:ilvl="5">
      <w:start w:val="1"/>
      <w:numFmt w:val="lowerLetter"/>
      <w:lvlText w:val="%6."/>
      <w:lvlJc w:val="start"/>
      <w:pPr>
        <w:tabs>
          <w:tab w:val="num" w:pos="2739"/>
        </w:tabs>
        <w:ind w:start="2739" w:hanging="397"/>
      </w:pPr>
      <w:rPr/>
    </w:lvl>
    <w:lvl w:ilvl="6">
      <w:start w:val="1"/>
      <w:numFmt w:val="lowerLetter"/>
      <w:lvlText w:val="%7."/>
      <w:lvlJc w:val="start"/>
      <w:pPr>
        <w:tabs>
          <w:tab w:val="num" w:pos="3136"/>
        </w:tabs>
        <w:ind w:start="3136" w:hanging="397"/>
      </w:pPr>
      <w:rPr/>
    </w:lvl>
    <w:lvl w:ilvl="7">
      <w:start w:val="1"/>
      <w:numFmt w:val="lowerLetter"/>
      <w:lvlText w:val="%8."/>
      <w:lvlJc w:val="start"/>
      <w:pPr>
        <w:tabs>
          <w:tab w:val="num" w:pos="3533"/>
        </w:tabs>
        <w:ind w:start="3533" w:hanging="397"/>
      </w:pPr>
      <w:rPr/>
    </w:lvl>
    <w:lvl w:ilvl="8">
      <w:start w:val="1"/>
      <w:numFmt w:val="lowerLetter"/>
      <w:lvlText w:val="%9."/>
      <w:lvlJc w:val="start"/>
      <w:pPr>
        <w:tabs>
          <w:tab w:val="num" w:pos="3930"/>
        </w:tabs>
        <w:ind w:start="3930" w:hanging="397"/>
      </w:pPr>
      <w:rPr/>
    </w:lvl>
  </w:abstractNum>
  <w:abstractNum w:abstractNumId="3">
    <w:lvl w:ilvl="0">
      <w:start w:val="1"/>
      <w:numFmt w:val="none"/>
      <w:suff w:val="nothing"/>
      <w:lvlText w:val="%1."/>
      <w:lvlJc w:val="start"/>
      <w:pPr>
        <w:tabs>
          <w:tab w:val="num" w:pos="720"/>
        </w:tabs>
        <w:ind w:start="720" w:hanging="360"/>
      </w:pPr>
    </w:lvl>
    <w:lvl w:ilvl="1">
      <w:start w:val="1"/>
      <w:numFmt w:val="none"/>
      <w:suff w:val="nothing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none"/>
      <w:suff w:val="nothing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none"/>
      <w:suff w:val="nothing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none"/>
      <w:suff w:val="nothing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none"/>
      <w:suff w:val="nothing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none"/>
      <w:suff w:val="nothing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none"/>
      <w:suff w:val="nothing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none"/>
      <w:suff w:val="nothing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4">
    <w:lvl w:ilvl="0">
      <w:start w:val="1"/>
      <w:numFmt w:val="decimal"/>
      <w:lvlText w:val="%1"/>
      <w:lvlJc w:val="start"/>
      <w:pPr>
        <w:tabs>
          <w:tab w:val="num" w:pos="0"/>
        </w:tabs>
        <w:ind w:start="360" w:hanging="360"/>
      </w:pPr>
      <w:rPr>
        <w:sz w:val="22"/>
      </w:r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abstractNum w:abstractNumId="5">
    <w:lvl w:ilvl="0">
      <w:start w:val="1"/>
      <w:numFmt w:val="decimal"/>
      <w:lvlText w:val="%1"/>
      <w:lvlJc w:val="start"/>
      <w:pPr>
        <w:tabs>
          <w:tab w:val="num" w:pos="283"/>
        </w:tabs>
        <w:ind w:start="283" w:hanging="283"/>
      </w:pPr>
    </w:lvl>
    <w:lvl w:ilvl="1">
      <w:start w:val="1"/>
      <w:numFmt w:val="decimal"/>
      <w:lvlText w:val="%1.%2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2.%3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3.%4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4.%5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5.%6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6.%7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7.%8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8.%9"/>
      <w:lvlJc w:val="start"/>
      <w:pPr>
        <w:tabs>
          <w:tab w:val="num" w:pos="3600"/>
        </w:tabs>
        <w:ind w:start="3600" w:hanging="360"/>
      </w:pPr>
    </w:lvl>
  </w:abstractNum>
  <w:abstractNum w:abstractNumId="6">
    <w:lvl w:ilvl="0">
      <w:start w:val="1"/>
      <w:numFmt w:val="bullet"/>
      <w:lvlText w:val="-"/>
      <w:lvlJc w:val="start"/>
      <w:pPr>
        <w:tabs>
          <w:tab w:val="num" w:pos="0"/>
        </w:tabs>
        <w:ind w:star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7">
    <w:lvl w:ilvl="0">
      <w:start w:val="1"/>
      <w:numFmt w:val="bullet"/>
      <w:suff w:val="nothing"/>
      <w:lvlText w:val=""/>
      <w:lvlJc w:val="start"/>
      <w:pPr>
        <w:tabs>
          <w:tab w:val="num" w:pos="0"/>
        </w:tabs>
        <w:ind w:start="0" w:hanging="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suff w:val="nothing"/>
      <w:lvlText w:val=""/>
      <w:lvlJc w:val="start"/>
      <w:pPr>
        <w:tabs>
          <w:tab w:val="num" w:pos="600"/>
        </w:tabs>
        <w:ind w:start="600" w:hanging="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suff w:val="nothing"/>
      <w:lvlText w:val=""/>
      <w:lvlJc w:val="start"/>
      <w:pPr>
        <w:tabs>
          <w:tab w:val="num" w:pos="0"/>
        </w:tabs>
        <w:ind w:start="0" w:hanging="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suff w:val="nothing"/>
      <w:lvlText w:val=""/>
      <w:lvlJc w:val="start"/>
      <w:pPr>
        <w:tabs>
          <w:tab w:val="num" w:pos="600"/>
        </w:tabs>
        <w:ind w:start="600" w:hanging="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suff w:val="nothing"/>
      <w:lvlText w:val=""/>
      <w:lvlJc w:val="start"/>
      <w:pPr>
        <w:tabs>
          <w:tab w:val="num" w:pos="0"/>
        </w:tabs>
        <w:ind w:start="0" w:hanging="0"/>
      </w:pPr>
      <w:rPr>
        <w:rFonts w:ascii="Wingdings" w:hAnsi="Wingdings" w:cs="Wingdings" w:hint="default"/>
      </w:rPr>
    </w:lvl>
    <w:lvl w:ilvl="1">
      <w:start w:val="1"/>
      <w:numFmt w:val="bullet"/>
      <w:suff w:val="nothing"/>
      <w:lvlText w:val=""/>
      <w:lvlJc w:val="start"/>
      <w:pPr>
        <w:tabs>
          <w:tab w:val="num" w:pos="0"/>
        </w:tabs>
        <w:ind w:start="0" w:hanging="0"/>
      </w:pPr>
      <w:rPr>
        <w:rFonts w:ascii="Wingdings" w:hAnsi="Wingdings" w:cs="Wingdings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suff w:val="nothing"/>
      <w:lvlText w:val=""/>
      <w:lvlJc w:val="start"/>
      <w:pPr>
        <w:tabs>
          <w:tab w:val="num" w:pos="0"/>
        </w:tabs>
        <w:ind w:start="0" w:hanging="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doNotBreakWrappedTables/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cs-CZ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false"/>
      <w:kinsoku w:val="true"/>
      <w:overflowPunct w:val="false"/>
      <w:autoSpaceDE w:val="true"/>
      <w:bidi w:val="0"/>
      <w:spacing w:before="0" w:after="0"/>
      <w:jc w:val="start"/>
    </w:pPr>
    <w:rPr>
      <w:rFonts w:ascii="Arial" w:hAnsi="Arial" w:eastAsia="Times New Roman" w:cs="Arial"/>
      <w:color w:val="auto"/>
      <w:kern w:val="0"/>
      <w:sz w:val="22"/>
      <w:szCs w:val="22"/>
      <w:lang w:val="cs-CZ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shd w:fill="CCCCCC" w:val="clear"/>
      <w:spacing w:lineRule="atLeast" w:line="0" w:before="240" w:after="120"/>
      <w:ind w:hanging="357" w:start="357" w:end="0"/>
      <w:jc w:val="both"/>
      <w:outlineLvl w:val="0"/>
    </w:pPr>
    <w:rPr>
      <w:b/>
      <w:kern w:val="2"/>
      <w:szCs w:val="20"/>
      <w:u w:val="single"/>
    </w:rPr>
  </w:style>
  <w:style w:type="paragraph" w:styleId="Heading2">
    <w:name w:val="heading 2"/>
    <w:basedOn w:val="Normal"/>
    <w:next w:val="Normal"/>
    <w:qFormat/>
    <w:pPr>
      <w:keepNext w:val="true"/>
      <w:numPr>
        <w:ilvl w:val="0"/>
        <w:numId w:val="0"/>
      </w:numPr>
      <w:spacing w:lineRule="atLeast" w:line="0" w:before="120" w:after="0"/>
      <w:jc w:val="both"/>
      <w:outlineLvl w:val="1"/>
    </w:pPr>
    <w:rPr>
      <w:rFonts w:ascii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qFormat/>
    <w:pPr>
      <w:keepNext w:val="true"/>
      <w:keepLines/>
      <w:numPr>
        <w:ilvl w:val="0"/>
        <w:numId w:val="0"/>
      </w:numPr>
      <w:tabs>
        <w:tab w:val="clear" w:pos="720"/>
        <w:tab w:val="left" w:pos="567" w:leader="none"/>
        <w:tab w:val="left" w:pos="1134" w:leader="none"/>
        <w:tab w:val="left" w:pos="1701" w:leader="none"/>
        <w:tab w:val="left" w:pos="2268" w:leader="none"/>
        <w:tab w:val="left" w:pos="2835" w:leader="none"/>
        <w:tab w:val="left" w:pos="3402" w:leader="none"/>
        <w:tab w:val="left" w:pos="3969" w:leader="none"/>
        <w:tab w:val="left" w:pos="4536" w:leader="none"/>
        <w:tab w:val="left" w:pos="5103" w:leader="none"/>
        <w:tab w:val="left" w:pos="5670" w:leader="none"/>
        <w:tab w:val="left" w:pos="6237" w:leader="none"/>
        <w:tab w:val="left" w:pos="6804" w:leader="none"/>
        <w:tab w:val="left" w:pos="7371" w:leader="none"/>
      </w:tabs>
      <w:overflowPunct w:val="true"/>
      <w:spacing w:lineRule="atLeast" w:line="200" w:before="120" w:after="120"/>
      <w:jc w:val="both"/>
      <w:textAlignment w:val="baseline"/>
      <w:outlineLvl w:val="2"/>
    </w:pPr>
    <w:rPr>
      <w:rFonts w:ascii="Times New Roman" w:hAnsi="Times New Roman" w:cs="Times New Roman"/>
      <w:bCs/>
      <w:sz w:val="24"/>
    </w:rPr>
  </w:style>
  <w:style w:type="paragraph" w:styleId="Heading4">
    <w:name w:val="heading 4"/>
    <w:basedOn w:val="Normal"/>
    <w:next w:val="Normal"/>
    <w:qFormat/>
    <w:pPr>
      <w:keepNext w:val="true"/>
      <w:numPr>
        <w:ilvl w:val="0"/>
        <w:numId w:val="0"/>
      </w:numPr>
      <w:outlineLvl w:val="3"/>
    </w:pPr>
    <w:rPr>
      <w:b/>
      <w:sz w:val="26"/>
      <w:szCs w:val="26"/>
    </w:rPr>
  </w:style>
  <w:style w:type="paragraph" w:styleId="Heading5">
    <w:name w:val="heading 5"/>
    <w:basedOn w:val="Normal"/>
    <w:next w:val="Normal"/>
    <w:qFormat/>
    <w:pPr>
      <w:keepNext w:val="true"/>
      <w:numPr>
        <w:ilvl w:val="0"/>
        <w:numId w:val="0"/>
      </w:numPr>
      <w:outlineLvl w:val="4"/>
    </w:pPr>
    <w:rPr>
      <w:rFonts w:cs="Arial"/>
      <w:b/>
      <w:bCs/>
      <w:iCs/>
      <w:sz w:val="24"/>
    </w:rPr>
  </w:style>
  <w:style w:type="paragraph" w:styleId="Heading6">
    <w:name w:val="heading 6"/>
    <w:basedOn w:val="Normal"/>
    <w:next w:val="Normal"/>
    <w:qFormat/>
    <w:pPr>
      <w:keepNext w:val="true"/>
      <w:numPr>
        <w:ilvl w:val="0"/>
        <w:numId w:val="0"/>
      </w:numPr>
      <w:spacing w:lineRule="atLeast" w:line="240" w:before="120" w:after="0"/>
      <w:jc w:val="both"/>
      <w:outlineLvl w:val="5"/>
    </w:pPr>
    <w:rPr>
      <w:rFonts w:ascii="Times New Roman" w:hAnsi="Times New Roman" w:cs="Times New Roman"/>
      <w:b/>
      <w:bCs/>
      <w:sz w:val="24"/>
    </w:rPr>
  </w:style>
  <w:style w:type="paragraph" w:styleId="Heading7">
    <w:name w:val="heading 7"/>
    <w:basedOn w:val="Normal"/>
    <w:next w:val="Normal"/>
    <w:qFormat/>
    <w:pPr>
      <w:keepNext w:val="true"/>
      <w:numPr>
        <w:ilvl w:val="0"/>
        <w:numId w:val="0"/>
      </w:numPr>
      <w:outlineLvl w:val="6"/>
    </w:pPr>
    <w:rPr>
      <w:b/>
      <w:bCs/>
      <w:sz w:val="32"/>
    </w:rPr>
  </w:style>
  <w:style w:type="paragraph" w:styleId="Heading8">
    <w:name w:val="heading 8"/>
    <w:basedOn w:val="Normal"/>
    <w:next w:val="Normal"/>
    <w:qFormat/>
    <w:pPr>
      <w:keepNext w:val="true"/>
      <w:numPr>
        <w:ilvl w:val="0"/>
        <w:numId w:val="0"/>
      </w:numPr>
      <w:overflowPunct w:val="true"/>
      <w:textAlignment w:val="baseline"/>
      <w:outlineLvl w:val="7"/>
    </w:pPr>
    <w:rPr>
      <w:sz w:val="24"/>
      <w:szCs w:val="20"/>
    </w:rPr>
  </w:style>
  <w:style w:type="paragraph" w:styleId="Heading9">
    <w:name w:val="heading 9"/>
    <w:basedOn w:val="Normal"/>
    <w:next w:val="BodyText"/>
    <w:qFormat/>
    <w:pPr>
      <w:keepNext w:val="true"/>
      <w:keepLines/>
      <w:numPr>
        <w:ilvl w:val="0"/>
        <w:numId w:val="0"/>
      </w:numPr>
      <w:tabs>
        <w:tab w:val="clear" w:pos="720"/>
        <w:tab w:val="left" w:pos="284" w:leader="none"/>
        <w:tab w:val="left" w:pos="567" w:leader="none"/>
        <w:tab w:val="left" w:pos="1134" w:leader="none"/>
        <w:tab w:val="left" w:pos="1701" w:leader="none"/>
        <w:tab w:val="left" w:pos="2268" w:leader="none"/>
        <w:tab w:val="left" w:pos="2835" w:leader="none"/>
        <w:tab w:val="left" w:pos="3402" w:leader="none"/>
        <w:tab w:val="left" w:pos="3969" w:leader="none"/>
        <w:tab w:val="left" w:pos="4536" w:leader="none"/>
        <w:tab w:val="left" w:pos="5103" w:leader="none"/>
        <w:tab w:val="left" w:pos="5670" w:leader="none"/>
        <w:tab w:val="left" w:pos="6237" w:leader="none"/>
        <w:tab w:val="left" w:pos="6804" w:leader="none"/>
        <w:tab w:val="left" w:pos="7371" w:leader="none"/>
      </w:tabs>
      <w:overflowPunct w:val="true"/>
      <w:jc w:val="both"/>
      <w:textAlignment w:val="baseline"/>
      <w:outlineLvl w:val="8"/>
    </w:pPr>
    <w:rPr>
      <w:spacing w:val="-6"/>
      <w:kern w:val="2"/>
      <w:sz w:val="18"/>
      <w:szCs w:val="20"/>
    </w:rPr>
  </w:style>
  <w:style w:type="character" w:styleId="WW8Num1z0">
    <w:name w:val="WW8Num1z0"/>
    <w:qFormat/>
    <w:rPr>
      <w:sz w:val="22"/>
    </w:rPr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sz w:val="22"/>
    </w:rPr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>
      <w:rFonts w:ascii="Liberation Serif;Times New Roman" w:hAnsi="Liberation Serif;Times New Roman" w:cs="Times New Roman"/>
      <w:sz w:val="24"/>
      <w:szCs w:val="24"/>
    </w:rPr>
  </w:style>
  <w:style w:type="character" w:styleId="WW8Num5z0">
    <w:name w:val="WW8Num5z0"/>
    <w:qFormat/>
    <w:rPr>
      <w:rFonts w:ascii="Arial" w:hAnsi="Arial" w:cs="Arial"/>
      <w:color w:val="auto"/>
      <w:sz w:val="24"/>
      <w:szCs w:val="24"/>
      <w:lang w:val="cs-CZ" w:eastAsia="zh-CN" w:bidi="ar-SA"/>
    </w:rPr>
  </w:style>
  <w:style w:type="character" w:styleId="WW8Num6z0">
    <w:name w:val="WW8Num6z0"/>
    <w:qFormat/>
    <w:rPr>
      <w:rFonts w:ascii="Symbol" w:hAnsi="Symbol" w:cs="Symbol"/>
    </w:rPr>
  </w:style>
  <w:style w:type="character" w:styleId="WW8Num7z0">
    <w:name w:val="WW8Num7z0"/>
    <w:qFormat/>
    <w:rPr>
      <w:rFonts w:ascii="Symbol" w:hAnsi="Symbol" w:cs="Times New Roman"/>
      <w:sz w:val="24"/>
      <w:szCs w:val="24"/>
    </w:rPr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8z0">
    <w:name w:val="WW8Num8z0"/>
    <w:qFormat/>
    <w:rPr>
      <w:rFonts w:ascii="Arial" w:hAnsi="Arial" w:eastAsia="Times New Roman" w:cs="Arial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9z0">
    <w:name w:val="WW8Num9z0"/>
    <w:qFormat/>
    <w:rPr/>
  </w:style>
  <w:style w:type="character" w:styleId="WW8Num9z1">
    <w:name w:val="WW8Num9z1"/>
    <w:qFormat/>
    <w:rPr/>
  </w:style>
  <w:style w:type="character" w:styleId="WW8Num9z2">
    <w:name w:val="WW8Num9z2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0">
    <w:name w:val="WW8Num10z0"/>
    <w:qFormat/>
    <w:rPr>
      <w:rFonts w:ascii="Times New Roman" w:hAnsi="Times New Roman" w:cs="Times New Roman"/>
    </w:rPr>
  </w:style>
  <w:style w:type="character" w:styleId="WW8Num11z0">
    <w:name w:val="WW8Num11z0"/>
    <w:qFormat/>
    <w:rPr/>
  </w:style>
  <w:style w:type="character" w:styleId="WW8Num11z1">
    <w:name w:val="WW8Num11z1"/>
    <w:qFormat/>
    <w:rPr/>
  </w:style>
  <w:style w:type="character" w:styleId="WW8Num11z2">
    <w:name w:val="WW8Num11z2"/>
    <w:qFormat/>
    <w:rPr/>
  </w:style>
  <w:style w:type="character" w:styleId="WW8Num11z3">
    <w:name w:val="WW8Num11z3"/>
    <w:qFormat/>
    <w:rPr/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2z0">
    <w:name w:val="WW8Num12z0"/>
    <w:qFormat/>
    <w:rPr/>
  </w:style>
  <w:style w:type="character" w:styleId="WW8Num12z1">
    <w:name w:val="WW8Num12z1"/>
    <w:qFormat/>
    <w:rPr/>
  </w:style>
  <w:style w:type="character" w:styleId="WW8Num12z2">
    <w:name w:val="WW8Num12z2"/>
    <w:qFormat/>
    <w:rPr/>
  </w:style>
  <w:style w:type="character" w:styleId="WW8Num12z3">
    <w:name w:val="WW8Num12z3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3z0">
    <w:name w:val="WW8Num13z0"/>
    <w:qFormat/>
    <w:rPr/>
  </w:style>
  <w:style w:type="character" w:styleId="WW8Num13z1">
    <w:name w:val="WW8Num13z1"/>
    <w:qFormat/>
    <w:rPr/>
  </w:style>
  <w:style w:type="character" w:styleId="WW8Num13z2">
    <w:name w:val="WW8Num13z2"/>
    <w:qFormat/>
    <w:rPr/>
  </w:style>
  <w:style w:type="character" w:styleId="WW8Num13z3">
    <w:name w:val="WW8Num13z3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14z0">
    <w:name w:val="WW8Num14z0"/>
    <w:qFormat/>
    <w:rPr/>
  </w:style>
  <w:style w:type="character" w:styleId="WW8Num14z2">
    <w:name w:val="WW8Num14z2"/>
    <w:qFormat/>
    <w:rPr>
      <w:rFonts w:ascii="Symbol" w:hAnsi="Symbol" w:cs="Symbol"/>
      <w:color w:val="000000"/>
    </w:rPr>
  </w:style>
  <w:style w:type="character" w:styleId="WW8Num15z0">
    <w:name w:val="WW8Num15z0"/>
    <w:qFormat/>
    <w:rPr>
      <w:rFonts w:ascii="Times New Roman" w:hAnsi="Times New Roman" w:cs="Times New Roman"/>
      <w:sz w:val="24"/>
      <w:szCs w:val="24"/>
    </w:rPr>
  </w:style>
  <w:style w:type="character" w:styleId="WW8Num15z1">
    <w:name w:val="WW8Num15z1"/>
    <w:qFormat/>
    <w:rPr/>
  </w:style>
  <w:style w:type="character" w:styleId="WW8Num15z2">
    <w:name w:val="WW8Num15z2"/>
    <w:qFormat/>
    <w:rPr/>
  </w:style>
  <w:style w:type="character" w:styleId="WW8Num15z3">
    <w:name w:val="WW8Num15z3"/>
    <w:qFormat/>
    <w:rPr/>
  </w:style>
  <w:style w:type="character" w:styleId="WW8Num15z4">
    <w:name w:val="WW8Num15z4"/>
    <w:qFormat/>
    <w:rPr/>
  </w:style>
  <w:style w:type="character" w:styleId="WW8Num15z5">
    <w:name w:val="WW8Num15z5"/>
    <w:qFormat/>
    <w:rPr/>
  </w:style>
  <w:style w:type="character" w:styleId="WW8Num15z6">
    <w:name w:val="WW8Num15z6"/>
    <w:qFormat/>
    <w:rPr/>
  </w:style>
  <w:style w:type="character" w:styleId="WW8Num15z7">
    <w:name w:val="WW8Num15z7"/>
    <w:qFormat/>
    <w:rPr/>
  </w:style>
  <w:style w:type="character" w:styleId="WW8Num15z8">
    <w:name w:val="WW8Num15z8"/>
    <w:qFormat/>
    <w:rPr/>
  </w:style>
  <w:style w:type="character" w:styleId="WW8Num16z0">
    <w:name w:val="WW8Num16z0"/>
    <w:qFormat/>
    <w:rPr/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WW8Num17z0">
    <w:name w:val="WW8Num17z0"/>
    <w:qFormat/>
    <w:rPr>
      <w:rFonts w:ascii="Times New Roman" w:hAnsi="Times New Roman" w:cs="Times New Roman"/>
      <w:sz w:val="24"/>
    </w:rPr>
  </w:style>
  <w:style w:type="character" w:styleId="WW8Num17z1">
    <w:name w:val="WW8Num17z1"/>
    <w:qFormat/>
    <w:rPr>
      <w:rFonts w:ascii="Courier New" w:hAnsi="Courier New" w:cs="Courier New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7z3">
    <w:name w:val="WW8Num17z3"/>
    <w:qFormat/>
    <w:rPr>
      <w:rFonts w:ascii="Symbol" w:hAnsi="Symbol" w:cs="Symbol"/>
    </w:rPr>
  </w:style>
  <w:style w:type="character" w:styleId="WW8Num18z0">
    <w:name w:val="WW8Num18z0"/>
    <w:qFormat/>
    <w:rPr/>
  </w:style>
  <w:style w:type="character" w:styleId="WW8Num18z1">
    <w:name w:val="WW8Num18z1"/>
    <w:qFormat/>
    <w:rPr/>
  </w:style>
  <w:style w:type="character" w:styleId="WW8Num18z2">
    <w:name w:val="WW8Num18z2"/>
    <w:qFormat/>
    <w:rPr/>
  </w:style>
  <w:style w:type="character" w:styleId="WW8Num18z3">
    <w:name w:val="WW8Num18z3"/>
    <w:qFormat/>
    <w:rPr/>
  </w:style>
  <w:style w:type="character" w:styleId="WW8Num18z4">
    <w:name w:val="WW8Num18z4"/>
    <w:qFormat/>
    <w:rPr/>
  </w:style>
  <w:style w:type="character" w:styleId="WW8Num18z5">
    <w:name w:val="WW8Num18z5"/>
    <w:qFormat/>
    <w:rPr/>
  </w:style>
  <w:style w:type="character" w:styleId="WW8Num18z6">
    <w:name w:val="WW8Num18z6"/>
    <w:qFormat/>
    <w:rPr/>
  </w:style>
  <w:style w:type="character" w:styleId="WW8Num18z7">
    <w:name w:val="WW8Num18z7"/>
    <w:qFormat/>
    <w:rPr/>
  </w:style>
  <w:style w:type="character" w:styleId="WW8Num18z8">
    <w:name w:val="WW8Num18z8"/>
    <w:qFormat/>
    <w:rPr/>
  </w:style>
  <w:style w:type="character" w:styleId="WW8Num19z0">
    <w:name w:val="WW8Num19z0"/>
    <w:qFormat/>
    <w:rPr>
      <w:rFonts w:ascii="Symbol" w:hAnsi="Symbol" w:cs="Symbol"/>
    </w:rPr>
  </w:style>
  <w:style w:type="character" w:styleId="WW8Num19z1">
    <w:name w:val="WW8Num19z1"/>
    <w:qFormat/>
    <w:rPr/>
  </w:style>
  <w:style w:type="character" w:styleId="WW8Num19z2">
    <w:name w:val="WW8Num19z2"/>
    <w:qFormat/>
    <w:rPr/>
  </w:style>
  <w:style w:type="character" w:styleId="WW8Num19z3">
    <w:name w:val="WW8Num19z3"/>
    <w:qFormat/>
    <w:rPr/>
  </w:style>
  <w:style w:type="character" w:styleId="WW8Num19z4">
    <w:name w:val="WW8Num19z4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20z0">
    <w:name w:val="WW8Num20z0"/>
    <w:qFormat/>
    <w:rPr/>
  </w:style>
  <w:style w:type="character" w:styleId="WW8Num21z0">
    <w:name w:val="WW8Num21z0"/>
    <w:qFormat/>
    <w:rPr>
      <w:rFonts w:ascii="Times New Roman" w:hAnsi="Times New Roman" w:cs="Times New Roman"/>
    </w:rPr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1z3">
    <w:name w:val="WW8Num21z3"/>
    <w:qFormat/>
    <w:rPr>
      <w:rFonts w:ascii="Symbol" w:hAnsi="Symbol" w:cs="Symbol"/>
    </w:rPr>
  </w:style>
  <w:style w:type="character" w:styleId="WW8Num22z0">
    <w:name w:val="WW8Num22z0"/>
    <w:qFormat/>
    <w:rPr>
      <w:b/>
      <w:sz w:val="40"/>
    </w:rPr>
  </w:style>
  <w:style w:type="character" w:styleId="WW8Num22z1">
    <w:name w:val="WW8Num22z1"/>
    <w:qFormat/>
    <w:rPr/>
  </w:style>
  <w:style w:type="character" w:styleId="WW8Num22z2">
    <w:name w:val="WW8Num22z2"/>
    <w:qFormat/>
    <w:rPr/>
  </w:style>
  <w:style w:type="character" w:styleId="WW8Num22z3">
    <w:name w:val="WW8Num22z3"/>
    <w:qFormat/>
    <w:rPr/>
  </w:style>
  <w:style w:type="character" w:styleId="WW8Num22z4">
    <w:name w:val="WW8Num22z4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WW8Num23z0">
    <w:name w:val="WW8Num23z0"/>
    <w:qFormat/>
    <w:rPr/>
  </w:style>
  <w:style w:type="character" w:styleId="WW8Num24z0">
    <w:name w:val="WW8Num24z0"/>
    <w:qFormat/>
    <w:rPr/>
  </w:style>
  <w:style w:type="character" w:styleId="WW8Num25z0">
    <w:name w:val="WW8Num25z0"/>
    <w:qFormat/>
    <w:rPr/>
  </w:style>
  <w:style w:type="character" w:styleId="WW8Num25z1">
    <w:name w:val="WW8Num25z1"/>
    <w:qFormat/>
    <w:rPr/>
  </w:style>
  <w:style w:type="character" w:styleId="WW8Num25z2">
    <w:name w:val="WW8Num25z2"/>
    <w:qFormat/>
    <w:rPr/>
  </w:style>
  <w:style w:type="character" w:styleId="WW8Num25z3">
    <w:name w:val="WW8Num25z3"/>
    <w:qFormat/>
    <w:rPr/>
  </w:style>
  <w:style w:type="character" w:styleId="WW8Num25z4">
    <w:name w:val="WW8Num25z4"/>
    <w:qFormat/>
    <w:rPr/>
  </w:style>
  <w:style w:type="character" w:styleId="WW8Num25z5">
    <w:name w:val="WW8Num25z5"/>
    <w:qFormat/>
    <w:rPr/>
  </w:style>
  <w:style w:type="character" w:styleId="WW8Num25z6">
    <w:name w:val="WW8Num25z6"/>
    <w:qFormat/>
    <w:rPr/>
  </w:style>
  <w:style w:type="character" w:styleId="WW8Num25z7">
    <w:name w:val="WW8Num25z7"/>
    <w:qFormat/>
    <w:rPr/>
  </w:style>
  <w:style w:type="character" w:styleId="WW8Num25z8">
    <w:name w:val="WW8Num25z8"/>
    <w:qFormat/>
    <w:rPr/>
  </w:style>
  <w:style w:type="character" w:styleId="WW8Num26z0">
    <w:name w:val="WW8Num26z0"/>
    <w:qFormat/>
    <w:rPr/>
  </w:style>
  <w:style w:type="character" w:styleId="WW8Num26z1">
    <w:name w:val="WW8Num26z1"/>
    <w:qFormat/>
    <w:rPr>
      <w:rFonts w:ascii="Courier New" w:hAnsi="Courier New" w:cs="Courier New"/>
    </w:rPr>
  </w:style>
  <w:style w:type="character" w:styleId="WW8Num26z2">
    <w:name w:val="WW8Num26z2"/>
    <w:qFormat/>
    <w:rPr>
      <w:rFonts w:ascii="Wingdings" w:hAnsi="Wingdings" w:cs="Wingdings"/>
    </w:rPr>
  </w:style>
  <w:style w:type="character" w:styleId="WW8Num26z3">
    <w:name w:val="WW8Num26z3"/>
    <w:qFormat/>
    <w:rPr>
      <w:rFonts w:ascii="Symbol" w:hAnsi="Symbol" w:cs="Symbol"/>
    </w:rPr>
  </w:style>
  <w:style w:type="character" w:styleId="WW8Num27z0">
    <w:name w:val="WW8Num27z0"/>
    <w:qFormat/>
    <w:rPr>
      <w:rFonts w:ascii="Symbol" w:hAnsi="Symbol" w:cs="Symbol"/>
    </w:rPr>
  </w:style>
  <w:style w:type="character" w:styleId="WW8Num27z1">
    <w:name w:val="WW8Num27z1"/>
    <w:qFormat/>
    <w:rPr>
      <w:rFonts w:ascii="Courier New" w:hAnsi="Courier New" w:cs="Courier New"/>
    </w:rPr>
  </w:style>
  <w:style w:type="character" w:styleId="WW8Num27z2">
    <w:name w:val="WW8Num27z2"/>
    <w:qFormat/>
    <w:rPr>
      <w:rFonts w:ascii="Wingdings" w:hAnsi="Wingdings" w:cs="Wingdings"/>
    </w:rPr>
  </w:style>
  <w:style w:type="character" w:styleId="WW8Num28z0">
    <w:name w:val="WW8Num28z0"/>
    <w:qFormat/>
    <w:rPr>
      <w:rFonts w:ascii="Times New Roman" w:hAnsi="Times New Roman" w:cs="Times New Roman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8z3">
    <w:name w:val="WW8Num28z3"/>
    <w:qFormat/>
    <w:rPr>
      <w:rFonts w:ascii="Symbol" w:hAnsi="Symbol" w:cs="Symbol"/>
    </w:rPr>
  </w:style>
  <w:style w:type="character" w:styleId="WW8Num29z0">
    <w:name w:val="WW8Num29z0"/>
    <w:qFormat/>
    <w:rPr>
      <w:rFonts w:ascii="Times New Roman" w:hAnsi="Times New Roman" w:eastAsia="Times New Roman" w:cs="Times New Roman"/>
    </w:rPr>
  </w:style>
  <w:style w:type="character" w:styleId="WW8Num29z1">
    <w:name w:val="WW8Num29z1"/>
    <w:qFormat/>
    <w:rPr>
      <w:rFonts w:ascii="Courier New" w:hAnsi="Courier New" w:cs="Courier New"/>
    </w:rPr>
  </w:style>
  <w:style w:type="character" w:styleId="WW8Num29z2">
    <w:name w:val="WW8Num29z2"/>
    <w:qFormat/>
    <w:rPr>
      <w:rFonts w:ascii="Wingdings" w:hAnsi="Wingdings" w:cs="Wingdings"/>
    </w:rPr>
  </w:style>
  <w:style w:type="character" w:styleId="WW8Num29z3">
    <w:name w:val="WW8Num29z3"/>
    <w:qFormat/>
    <w:rPr>
      <w:rFonts w:ascii="Symbol" w:hAnsi="Symbol" w:cs="Symbol"/>
    </w:rPr>
  </w:style>
  <w:style w:type="character" w:styleId="WW8Num30z0">
    <w:name w:val="WW8Num30z0"/>
    <w:qFormat/>
    <w:rPr>
      <w:rFonts w:ascii="Symbol" w:hAnsi="Symbol" w:cs="Symbol"/>
    </w:rPr>
  </w:style>
  <w:style w:type="character" w:styleId="WW8Num30z1">
    <w:name w:val="WW8Num30z1"/>
    <w:qFormat/>
    <w:rPr>
      <w:rFonts w:ascii="Courier New" w:hAnsi="Courier New" w:cs="Courier New"/>
    </w:rPr>
  </w:style>
  <w:style w:type="character" w:styleId="WW8Num30z2">
    <w:name w:val="WW8Num30z2"/>
    <w:qFormat/>
    <w:rPr>
      <w:rFonts w:ascii="Wingdings" w:hAnsi="Wingdings" w:cs="Wingdings"/>
    </w:rPr>
  </w:style>
  <w:style w:type="character" w:styleId="WW8Num31z0">
    <w:name w:val="WW8Num31z0"/>
    <w:qFormat/>
    <w:rPr/>
  </w:style>
  <w:style w:type="character" w:styleId="WW8Num31z1">
    <w:name w:val="WW8Num31z1"/>
    <w:qFormat/>
    <w:rPr/>
  </w:style>
  <w:style w:type="character" w:styleId="WW8Num31z2">
    <w:name w:val="WW8Num31z2"/>
    <w:qFormat/>
    <w:rPr/>
  </w:style>
  <w:style w:type="character" w:styleId="WW8Num31z3">
    <w:name w:val="WW8Num31z3"/>
    <w:qFormat/>
    <w:rPr/>
  </w:style>
  <w:style w:type="character" w:styleId="WW8Num31z4">
    <w:name w:val="WW8Num31z4"/>
    <w:qFormat/>
    <w:rPr/>
  </w:style>
  <w:style w:type="character" w:styleId="WW8Num31z5">
    <w:name w:val="WW8Num31z5"/>
    <w:qFormat/>
    <w:rPr/>
  </w:style>
  <w:style w:type="character" w:styleId="WW8Num31z6">
    <w:name w:val="WW8Num31z6"/>
    <w:qFormat/>
    <w:rPr/>
  </w:style>
  <w:style w:type="character" w:styleId="WW8Num31z7">
    <w:name w:val="WW8Num31z7"/>
    <w:qFormat/>
    <w:rPr/>
  </w:style>
  <w:style w:type="character" w:styleId="WW8Num31z8">
    <w:name w:val="WW8Num31z8"/>
    <w:qFormat/>
    <w:rPr/>
  </w:style>
  <w:style w:type="character" w:styleId="WW8Num32z0">
    <w:name w:val="WW8Num32z0"/>
    <w:qFormat/>
    <w:rPr>
      <w:rFonts w:ascii="Symbol" w:hAnsi="Symbol" w:cs="Symbol"/>
    </w:rPr>
  </w:style>
  <w:style w:type="character" w:styleId="WW8Num32z1">
    <w:name w:val="WW8Num32z1"/>
    <w:qFormat/>
    <w:rPr>
      <w:rFonts w:ascii="Courier New" w:hAnsi="Courier New" w:cs="Courier New"/>
    </w:rPr>
  </w:style>
  <w:style w:type="character" w:styleId="WW8Num32z2">
    <w:name w:val="WW8Num32z2"/>
    <w:qFormat/>
    <w:rPr>
      <w:rFonts w:ascii="Wingdings" w:hAnsi="Wingdings" w:cs="Wingdings"/>
    </w:rPr>
  </w:style>
  <w:style w:type="character" w:styleId="WW8Num33z0">
    <w:name w:val="WW8Num33z0"/>
    <w:qFormat/>
    <w:rPr>
      <w:rFonts w:ascii="Wingdings" w:hAnsi="Wingdings" w:cs="Wingdings"/>
    </w:rPr>
  </w:style>
  <w:style w:type="character" w:styleId="WW8Num33z1">
    <w:name w:val="WW8Num33z1"/>
    <w:qFormat/>
    <w:rPr>
      <w:rFonts w:ascii="Courier New" w:hAnsi="Courier New" w:cs="Courier New"/>
    </w:rPr>
  </w:style>
  <w:style w:type="character" w:styleId="WW8Num33z3">
    <w:name w:val="WW8Num33z3"/>
    <w:qFormat/>
    <w:rPr>
      <w:rFonts w:ascii="Symbol" w:hAnsi="Symbol" w:cs="Symbol"/>
    </w:rPr>
  </w:style>
  <w:style w:type="character" w:styleId="WW8Num34z0">
    <w:name w:val="WW8Num34z0"/>
    <w:qFormat/>
    <w:rPr>
      <w:rFonts w:ascii="Times New Roman" w:hAnsi="Times New Roman" w:cs="Times New Roman"/>
    </w:rPr>
  </w:style>
  <w:style w:type="character" w:styleId="WW8Num34z1">
    <w:name w:val="WW8Num34z1"/>
    <w:qFormat/>
    <w:rPr>
      <w:rFonts w:ascii="Courier New" w:hAnsi="Courier New" w:cs="Courier New"/>
    </w:rPr>
  </w:style>
  <w:style w:type="character" w:styleId="WW8Num34z2">
    <w:name w:val="WW8Num34z2"/>
    <w:qFormat/>
    <w:rPr>
      <w:rFonts w:ascii="Wingdings" w:hAnsi="Wingdings" w:cs="Wingdings"/>
    </w:rPr>
  </w:style>
  <w:style w:type="character" w:styleId="WW8Num34z3">
    <w:name w:val="WW8Num34z3"/>
    <w:qFormat/>
    <w:rPr>
      <w:rFonts w:ascii="Symbol" w:hAnsi="Symbol" w:cs="Symbol"/>
    </w:rPr>
  </w:style>
  <w:style w:type="character" w:styleId="WW8Num35z0">
    <w:name w:val="WW8Num35z0"/>
    <w:qFormat/>
    <w:rPr/>
  </w:style>
  <w:style w:type="character" w:styleId="WW8Num35z1">
    <w:name w:val="WW8Num35z1"/>
    <w:qFormat/>
    <w:rPr/>
  </w:style>
  <w:style w:type="character" w:styleId="WW8Num35z2">
    <w:name w:val="WW8Num35z2"/>
    <w:qFormat/>
    <w:rPr/>
  </w:style>
  <w:style w:type="character" w:styleId="WW8Num35z3">
    <w:name w:val="WW8Num35z3"/>
    <w:qFormat/>
    <w:rPr/>
  </w:style>
  <w:style w:type="character" w:styleId="WW8Num35z4">
    <w:name w:val="WW8Num35z4"/>
    <w:qFormat/>
    <w:rPr/>
  </w:style>
  <w:style w:type="character" w:styleId="WW8Num35z5">
    <w:name w:val="WW8Num35z5"/>
    <w:qFormat/>
    <w:rPr/>
  </w:style>
  <w:style w:type="character" w:styleId="WW8Num35z6">
    <w:name w:val="WW8Num35z6"/>
    <w:qFormat/>
    <w:rPr/>
  </w:style>
  <w:style w:type="character" w:styleId="WW8Num35z7">
    <w:name w:val="WW8Num35z7"/>
    <w:qFormat/>
    <w:rPr/>
  </w:style>
  <w:style w:type="character" w:styleId="WW8Num35z8">
    <w:name w:val="WW8Num35z8"/>
    <w:qFormat/>
    <w:rPr/>
  </w:style>
  <w:style w:type="character" w:styleId="WW8Num36z0">
    <w:name w:val="WW8Num36z0"/>
    <w:qFormat/>
    <w:rPr/>
  </w:style>
  <w:style w:type="character" w:styleId="WW8Num36z1">
    <w:name w:val="WW8Num36z1"/>
    <w:qFormat/>
    <w:rPr/>
  </w:style>
  <w:style w:type="character" w:styleId="WW8Num36z2">
    <w:name w:val="WW8Num36z2"/>
    <w:qFormat/>
    <w:rPr/>
  </w:style>
  <w:style w:type="character" w:styleId="WW8Num36z3">
    <w:name w:val="WW8Num36z3"/>
    <w:qFormat/>
    <w:rPr/>
  </w:style>
  <w:style w:type="character" w:styleId="WW8Num36z4">
    <w:name w:val="WW8Num36z4"/>
    <w:qFormat/>
    <w:rPr/>
  </w:style>
  <w:style w:type="character" w:styleId="WW8Num36z5">
    <w:name w:val="WW8Num36z5"/>
    <w:qFormat/>
    <w:rPr/>
  </w:style>
  <w:style w:type="character" w:styleId="WW8Num36z6">
    <w:name w:val="WW8Num36z6"/>
    <w:qFormat/>
    <w:rPr/>
  </w:style>
  <w:style w:type="character" w:styleId="WW8Num36z7">
    <w:name w:val="WW8Num36z7"/>
    <w:qFormat/>
    <w:rPr/>
  </w:style>
  <w:style w:type="character" w:styleId="WW8Num36z8">
    <w:name w:val="WW8Num36z8"/>
    <w:qFormat/>
    <w:rPr/>
  </w:style>
  <w:style w:type="character" w:styleId="WW8Num37z0">
    <w:name w:val="WW8Num37z0"/>
    <w:qFormat/>
    <w:rPr/>
  </w:style>
  <w:style w:type="character" w:styleId="WW8Num37z1">
    <w:name w:val="WW8Num37z1"/>
    <w:qFormat/>
    <w:rPr/>
  </w:style>
  <w:style w:type="character" w:styleId="WW8Num37z2">
    <w:name w:val="WW8Num37z2"/>
    <w:qFormat/>
    <w:rPr/>
  </w:style>
  <w:style w:type="character" w:styleId="WW8Num37z3">
    <w:name w:val="WW8Num37z3"/>
    <w:qFormat/>
    <w:rPr/>
  </w:style>
  <w:style w:type="character" w:styleId="WW8Num37z4">
    <w:name w:val="WW8Num37z4"/>
    <w:qFormat/>
    <w:rPr/>
  </w:style>
  <w:style w:type="character" w:styleId="WW8Num37z5">
    <w:name w:val="WW8Num37z5"/>
    <w:qFormat/>
    <w:rPr/>
  </w:style>
  <w:style w:type="character" w:styleId="WW8Num37z6">
    <w:name w:val="WW8Num37z6"/>
    <w:qFormat/>
    <w:rPr/>
  </w:style>
  <w:style w:type="character" w:styleId="WW8Num37z7">
    <w:name w:val="WW8Num37z7"/>
    <w:qFormat/>
    <w:rPr/>
  </w:style>
  <w:style w:type="character" w:styleId="WW8Num37z8">
    <w:name w:val="WW8Num37z8"/>
    <w:qFormat/>
    <w:rPr/>
  </w:style>
  <w:style w:type="character" w:styleId="WW8Num38z0">
    <w:name w:val="WW8Num38z0"/>
    <w:qFormat/>
    <w:rPr>
      <w:sz w:val="22"/>
    </w:rPr>
  </w:style>
  <w:style w:type="character" w:styleId="WW8Num38z1">
    <w:name w:val="WW8Num38z1"/>
    <w:qFormat/>
    <w:rPr/>
  </w:style>
  <w:style w:type="character" w:styleId="WW8Num38z2">
    <w:name w:val="WW8Num38z2"/>
    <w:qFormat/>
    <w:rPr/>
  </w:style>
  <w:style w:type="character" w:styleId="WW8Num38z3">
    <w:name w:val="WW8Num38z3"/>
    <w:qFormat/>
    <w:rPr/>
  </w:style>
  <w:style w:type="character" w:styleId="WW8Num38z4">
    <w:name w:val="WW8Num38z4"/>
    <w:qFormat/>
    <w:rPr/>
  </w:style>
  <w:style w:type="character" w:styleId="WW8Num38z5">
    <w:name w:val="WW8Num38z5"/>
    <w:qFormat/>
    <w:rPr/>
  </w:style>
  <w:style w:type="character" w:styleId="WW8Num38z6">
    <w:name w:val="WW8Num38z6"/>
    <w:qFormat/>
    <w:rPr/>
  </w:style>
  <w:style w:type="character" w:styleId="WW8Num38z7">
    <w:name w:val="WW8Num38z7"/>
    <w:qFormat/>
    <w:rPr/>
  </w:style>
  <w:style w:type="character" w:styleId="WW8Num38z8">
    <w:name w:val="WW8Num38z8"/>
    <w:qFormat/>
    <w:rPr/>
  </w:style>
  <w:style w:type="character" w:styleId="WW8Num39z0">
    <w:name w:val="WW8Num39z0"/>
    <w:qFormat/>
    <w:rPr/>
  </w:style>
  <w:style w:type="character" w:styleId="WW8Num39z1">
    <w:name w:val="WW8Num39z1"/>
    <w:qFormat/>
    <w:rPr/>
  </w:style>
  <w:style w:type="character" w:styleId="WW8Num39z2">
    <w:name w:val="WW8Num39z2"/>
    <w:qFormat/>
    <w:rPr/>
  </w:style>
  <w:style w:type="character" w:styleId="WW8Num39z3">
    <w:name w:val="WW8Num39z3"/>
    <w:qFormat/>
    <w:rPr/>
  </w:style>
  <w:style w:type="character" w:styleId="WW8Num39z4">
    <w:name w:val="WW8Num39z4"/>
    <w:qFormat/>
    <w:rPr/>
  </w:style>
  <w:style w:type="character" w:styleId="WW8Num39z5">
    <w:name w:val="WW8Num39z5"/>
    <w:qFormat/>
    <w:rPr/>
  </w:style>
  <w:style w:type="character" w:styleId="WW8Num39z6">
    <w:name w:val="WW8Num39z6"/>
    <w:qFormat/>
    <w:rPr/>
  </w:style>
  <w:style w:type="character" w:styleId="WW8Num39z7">
    <w:name w:val="WW8Num39z7"/>
    <w:qFormat/>
    <w:rPr/>
  </w:style>
  <w:style w:type="character" w:styleId="WW8Num39z8">
    <w:name w:val="WW8Num39z8"/>
    <w:qFormat/>
    <w:rPr/>
  </w:style>
  <w:style w:type="character" w:styleId="WW8Num40z0">
    <w:name w:val="WW8Num40z0"/>
    <w:qFormat/>
    <w:rPr/>
  </w:style>
  <w:style w:type="character" w:styleId="WW8Num40z1">
    <w:name w:val="WW8Num40z1"/>
    <w:qFormat/>
    <w:rPr/>
  </w:style>
  <w:style w:type="character" w:styleId="WW8Num40z2">
    <w:name w:val="WW8Num40z2"/>
    <w:qFormat/>
    <w:rPr/>
  </w:style>
  <w:style w:type="character" w:styleId="WW8Num40z3">
    <w:name w:val="WW8Num40z3"/>
    <w:qFormat/>
    <w:rPr/>
  </w:style>
  <w:style w:type="character" w:styleId="WW8Num40z4">
    <w:name w:val="WW8Num40z4"/>
    <w:qFormat/>
    <w:rPr/>
  </w:style>
  <w:style w:type="character" w:styleId="WW8Num40z5">
    <w:name w:val="WW8Num40z5"/>
    <w:qFormat/>
    <w:rPr/>
  </w:style>
  <w:style w:type="character" w:styleId="WW8Num40z6">
    <w:name w:val="WW8Num40z6"/>
    <w:qFormat/>
    <w:rPr/>
  </w:style>
  <w:style w:type="character" w:styleId="WW8Num40z7">
    <w:name w:val="WW8Num40z7"/>
    <w:qFormat/>
    <w:rPr/>
  </w:style>
  <w:style w:type="character" w:styleId="WW8Num40z8">
    <w:name w:val="WW8Num40z8"/>
    <w:qFormat/>
    <w:rPr/>
  </w:style>
  <w:style w:type="character" w:styleId="WW8Num41z0">
    <w:name w:val="WW8Num41z0"/>
    <w:qFormat/>
    <w:rPr/>
  </w:style>
  <w:style w:type="character" w:styleId="WW8Num41z1">
    <w:name w:val="WW8Num41z1"/>
    <w:qFormat/>
    <w:rPr/>
  </w:style>
  <w:style w:type="character" w:styleId="WW8Num41z2">
    <w:name w:val="WW8Num41z2"/>
    <w:qFormat/>
    <w:rPr/>
  </w:style>
  <w:style w:type="character" w:styleId="WW8Num41z3">
    <w:name w:val="WW8Num41z3"/>
    <w:qFormat/>
    <w:rPr/>
  </w:style>
  <w:style w:type="character" w:styleId="WW8Num41z4">
    <w:name w:val="WW8Num41z4"/>
    <w:qFormat/>
    <w:rPr/>
  </w:style>
  <w:style w:type="character" w:styleId="WW8Num41z5">
    <w:name w:val="WW8Num41z5"/>
    <w:qFormat/>
    <w:rPr/>
  </w:style>
  <w:style w:type="character" w:styleId="WW8Num41z6">
    <w:name w:val="WW8Num41z6"/>
    <w:qFormat/>
    <w:rPr/>
  </w:style>
  <w:style w:type="character" w:styleId="WW8Num41z7">
    <w:name w:val="WW8Num41z7"/>
    <w:qFormat/>
    <w:rPr/>
  </w:style>
  <w:style w:type="character" w:styleId="WW8Num41z8">
    <w:name w:val="WW8Num41z8"/>
    <w:qFormat/>
    <w:rPr/>
  </w:style>
  <w:style w:type="character" w:styleId="WW8Num42z0">
    <w:name w:val="WW8Num42z0"/>
    <w:qFormat/>
    <w:rPr/>
  </w:style>
  <w:style w:type="character" w:styleId="WW8Num43z0">
    <w:name w:val="WW8Num43z0"/>
    <w:qFormat/>
    <w:rPr/>
  </w:style>
  <w:style w:type="character" w:styleId="WW8Num44z0">
    <w:name w:val="WW8Num44z0"/>
    <w:qFormat/>
    <w:rPr/>
  </w:style>
  <w:style w:type="character" w:styleId="WW8Num44z1">
    <w:name w:val="WW8Num44z1"/>
    <w:qFormat/>
    <w:rPr>
      <w:rFonts w:ascii="Courier New" w:hAnsi="Courier New" w:cs="Courier New"/>
    </w:rPr>
  </w:style>
  <w:style w:type="character" w:styleId="WW8Num44z2">
    <w:name w:val="WW8Num44z2"/>
    <w:qFormat/>
    <w:rPr>
      <w:rFonts w:ascii="Wingdings" w:hAnsi="Wingdings" w:cs="Wingdings"/>
    </w:rPr>
  </w:style>
  <w:style w:type="character" w:styleId="WW8Num44z3">
    <w:name w:val="WW8Num44z3"/>
    <w:qFormat/>
    <w:rPr>
      <w:rFonts w:ascii="Symbol" w:hAnsi="Symbol" w:cs="Symbol"/>
    </w:rPr>
  </w:style>
  <w:style w:type="character" w:styleId="WW8Num45z0">
    <w:name w:val="WW8Num45z0"/>
    <w:qFormat/>
    <w:rPr>
      <w:b/>
      <w:sz w:val="40"/>
    </w:rPr>
  </w:style>
  <w:style w:type="character" w:styleId="WW8Num45z1">
    <w:name w:val="WW8Num45z1"/>
    <w:qFormat/>
    <w:rPr/>
  </w:style>
  <w:style w:type="character" w:styleId="WW8Num45z2">
    <w:name w:val="WW8Num45z2"/>
    <w:qFormat/>
    <w:rPr/>
  </w:style>
  <w:style w:type="character" w:styleId="WW8Num45z3">
    <w:name w:val="WW8Num45z3"/>
    <w:qFormat/>
    <w:rPr/>
  </w:style>
  <w:style w:type="character" w:styleId="WW8Num45z4">
    <w:name w:val="WW8Num45z4"/>
    <w:qFormat/>
    <w:rPr/>
  </w:style>
  <w:style w:type="character" w:styleId="WW8Num45z5">
    <w:name w:val="WW8Num45z5"/>
    <w:qFormat/>
    <w:rPr/>
  </w:style>
  <w:style w:type="character" w:styleId="WW8Num45z6">
    <w:name w:val="WW8Num45z6"/>
    <w:qFormat/>
    <w:rPr/>
  </w:style>
  <w:style w:type="character" w:styleId="WW8Num45z7">
    <w:name w:val="WW8Num45z7"/>
    <w:qFormat/>
    <w:rPr/>
  </w:style>
  <w:style w:type="character" w:styleId="WW8Num45z8">
    <w:name w:val="WW8Num45z8"/>
    <w:qFormat/>
    <w:rPr/>
  </w:style>
  <w:style w:type="character" w:styleId="WW8Num46z0">
    <w:name w:val="WW8Num46z0"/>
    <w:qFormat/>
    <w:rPr/>
  </w:style>
  <w:style w:type="character" w:styleId="WW8Num46z1">
    <w:name w:val="WW8Num46z1"/>
    <w:qFormat/>
    <w:rPr/>
  </w:style>
  <w:style w:type="character" w:styleId="WW8Num46z2">
    <w:name w:val="WW8Num46z2"/>
    <w:qFormat/>
    <w:rPr/>
  </w:style>
  <w:style w:type="character" w:styleId="WW8Num46z3">
    <w:name w:val="WW8Num46z3"/>
    <w:qFormat/>
    <w:rPr/>
  </w:style>
  <w:style w:type="character" w:styleId="WW8Num46z4">
    <w:name w:val="WW8Num46z4"/>
    <w:qFormat/>
    <w:rPr/>
  </w:style>
  <w:style w:type="character" w:styleId="WW8Num46z5">
    <w:name w:val="WW8Num46z5"/>
    <w:qFormat/>
    <w:rPr/>
  </w:style>
  <w:style w:type="character" w:styleId="WW8Num46z6">
    <w:name w:val="WW8Num46z6"/>
    <w:qFormat/>
    <w:rPr/>
  </w:style>
  <w:style w:type="character" w:styleId="WW8Num46z7">
    <w:name w:val="WW8Num46z7"/>
    <w:qFormat/>
    <w:rPr/>
  </w:style>
  <w:style w:type="character" w:styleId="WW8Num46z8">
    <w:name w:val="WW8Num46z8"/>
    <w:qFormat/>
    <w:rPr/>
  </w:style>
  <w:style w:type="character" w:styleId="WW8Num47z0">
    <w:name w:val="WW8Num47z0"/>
    <w:qFormat/>
    <w:rPr/>
  </w:style>
  <w:style w:type="character" w:styleId="WW8Num48z0">
    <w:name w:val="WW8Num48z0"/>
    <w:qFormat/>
    <w:rPr>
      <w:rFonts w:ascii="Symbol" w:hAnsi="Symbol" w:cs="Symbol"/>
    </w:rPr>
  </w:style>
  <w:style w:type="character" w:styleId="WW8Num48z1">
    <w:name w:val="WW8Num48z1"/>
    <w:qFormat/>
    <w:rPr>
      <w:rFonts w:ascii="Courier New" w:hAnsi="Courier New" w:cs="Courier New"/>
    </w:rPr>
  </w:style>
  <w:style w:type="character" w:styleId="WW8Num48z2">
    <w:name w:val="WW8Num48z2"/>
    <w:qFormat/>
    <w:rPr>
      <w:rFonts w:ascii="Wingdings" w:hAnsi="Wingdings" w:cs="Wingdings"/>
    </w:rPr>
  </w:style>
  <w:style w:type="character" w:styleId="WW8Num49z0">
    <w:name w:val="WW8Num49z0"/>
    <w:qFormat/>
    <w:rPr/>
  </w:style>
  <w:style w:type="character" w:styleId="WW8Num50z0">
    <w:name w:val="WW8Num50z0"/>
    <w:qFormat/>
    <w:rPr/>
  </w:style>
  <w:style w:type="character" w:styleId="WW8Num50z1">
    <w:name w:val="WW8Num50z1"/>
    <w:qFormat/>
    <w:rPr/>
  </w:style>
  <w:style w:type="character" w:styleId="WW8Num50z2">
    <w:name w:val="WW8Num50z2"/>
    <w:qFormat/>
    <w:rPr/>
  </w:style>
  <w:style w:type="character" w:styleId="WW8Num50z3">
    <w:name w:val="WW8Num50z3"/>
    <w:qFormat/>
    <w:rPr/>
  </w:style>
  <w:style w:type="character" w:styleId="WW8Num50z4">
    <w:name w:val="WW8Num50z4"/>
    <w:qFormat/>
    <w:rPr/>
  </w:style>
  <w:style w:type="character" w:styleId="WW8Num50z5">
    <w:name w:val="WW8Num50z5"/>
    <w:qFormat/>
    <w:rPr/>
  </w:style>
  <w:style w:type="character" w:styleId="WW8Num50z6">
    <w:name w:val="WW8Num50z6"/>
    <w:qFormat/>
    <w:rPr/>
  </w:style>
  <w:style w:type="character" w:styleId="WW8Num50z7">
    <w:name w:val="WW8Num50z7"/>
    <w:qFormat/>
    <w:rPr/>
  </w:style>
  <w:style w:type="character" w:styleId="WW8Num50z8">
    <w:name w:val="WW8Num50z8"/>
    <w:qFormat/>
    <w:rPr/>
  </w:style>
  <w:style w:type="character" w:styleId="WW8Num51z0">
    <w:name w:val="WW8Num51z0"/>
    <w:qFormat/>
    <w:rPr>
      <w:rFonts w:ascii="Symbol" w:hAnsi="Symbol" w:cs="Symbol"/>
    </w:rPr>
  </w:style>
  <w:style w:type="character" w:styleId="WW8Num51z1">
    <w:name w:val="WW8Num51z1"/>
    <w:qFormat/>
    <w:rPr>
      <w:rFonts w:ascii="Courier New" w:hAnsi="Courier New" w:cs="Courier New"/>
    </w:rPr>
  </w:style>
  <w:style w:type="character" w:styleId="WW8Num51z2">
    <w:name w:val="WW8Num51z2"/>
    <w:qFormat/>
    <w:rPr>
      <w:rFonts w:ascii="Wingdings" w:hAnsi="Wingdings" w:cs="Wingdings"/>
    </w:rPr>
  </w:style>
  <w:style w:type="character" w:styleId="WW8Num52z0">
    <w:name w:val="WW8Num52z0"/>
    <w:qFormat/>
    <w:rPr/>
  </w:style>
  <w:style w:type="character" w:styleId="WW8Num53z0">
    <w:name w:val="WW8Num53z0"/>
    <w:qFormat/>
    <w:rPr>
      <w:rFonts w:ascii="Times New Roman" w:hAnsi="Times New Roman" w:eastAsia="Times New Roman" w:cs="Times New Roman"/>
    </w:rPr>
  </w:style>
  <w:style w:type="character" w:styleId="WW8Num53z1">
    <w:name w:val="WW8Num53z1"/>
    <w:qFormat/>
    <w:rPr>
      <w:rFonts w:ascii="Courier New" w:hAnsi="Courier New" w:cs="Courier New"/>
    </w:rPr>
  </w:style>
  <w:style w:type="character" w:styleId="WW8Num53z2">
    <w:name w:val="WW8Num53z2"/>
    <w:qFormat/>
    <w:rPr>
      <w:rFonts w:ascii="Wingdings" w:hAnsi="Wingdings" w:cs="Wingdings"/>
    </w:rPr>
  </w:style>
  <w:style w:type="character" w:styleId="WW8Num53z3">
    <w:name w:val="WW8Num53z3"/>
    <w:qFormat/>
    <w:rPr>
      <w:rFonts w:ascii="Symbol" w:hAnsi="Symbol" w:cs="Symbol"/>
    </w:rPr>
  </w:style>
  <w:style w:type="character" w:styleId="WW8Num54z0">
    <w:name w:val="WW8Num54z0"/>
    <w:qFormat/>
    <w:rPr/>
  </w:style>
  <w:style w:type="character" w:styleId="WW8Num54z1">
    <w:name w:val="WW8Num54z1"/>
    <w:qFormat/>
    <w:rPr/>
  </w:style>
  <w:style w:type="character" w:styleId="WW8Num54z2">
    <w:name w:val="WW8Num54z2"/>
    <w:qFormat/>
    <w:rPr/>
  </w:style>
  <w:style w:type="character" w:styleId="WW8Num54z3">
    <w:name w:val="WW8Num54z3"/>
    <w:qFormat/>
    <w:rPr/>
  </w:style>
  <w:style w:type="character" w:styleId="WW8Num54z4">
    <w:name w:val="WW8Num54z4"/>
    <w:qFormat/>
    <w:rPr/>
  </w:style>
  <w:style w:type="character" w:styleId="WW8Num54z5">
    <w:name w:val="WW8Num54z5"/>
    <w:qFormat/>
    <w:rPr/>
  </w:style>
  <w:style w:type="character" w:styleId="WW8Num54z6">
    <w:name w:val="WW8Num54z6"/>
    <w:qFormat/>
    <w:rPr/>
  </w:style>
  <w:style w:type="character" w:styleId="WW8Num54z7">
    <w:name w:val="WW8Num54z7"/>
    <w:qFormat/>
    <w:rPr/>
  </w:style>
  <w:style w:type="character" w:styleId="WW8Num54z8">
    <w:name w:val="WW8Num54z8"/>
    <w:qFormat/>
    <w:rPr/>
  </w:style>
  <w:style w:type="character" w:styleId="WW8Num55z0">
    <w:name w:val="WW8Num55z0"/>
    <w:qFormat/>
    <w:rPr>
      <w:b/>
      <w:sz w:val="40"/>
    </w:rPr>
  </w:style>
  <w:style w:type="character" w:styleId="WW8Num55z1">
    <w:name w:val="WW8Num55z1"/>
    <w:qFormat/>
    <w:rPr/>
  </w:style>
  <w:style w:type="character" w:styleId="WW8Num55z2">
    <w:name w:val="WW8Num55z2"/>
    <w:qFormat/>
    <w:rPr/>
  </w:style>
  <w:style w:type="character" w:styleId="WW8Num55z3">
    <w:name w:val="WW8Num55z3"/>
    <w:qFormat/>
    <w:rPr/>
  </w:style>
  <w:style w:type="character" w:styleId="WW8Num55z4">
    <w:name w:val="WW8Num55z4"/>
    <w:qFormat/>
    <w:rPr/>
  </w:style>
  <w:style w:type="character" w:styleId="WW8Num55z5">
    <w:name w:val="WW8Num55z5"/>
    <w:qFormat/>
    <w:rPr/>
  </w:style>
  <w:style w:type="character" w:styleId="WW8Num55z6">
    <w:name w:val="WW8Num55z6"/>
    <w:qFormat/>
    <w:rPr/>
  </w:style>
  <w:style w:type="character" w:styleId="WW8Num55z7">
    <w:name w:val="WW8Num55z7"/>
    <w:qFormat/>
    <w:rPr/>
  </w:style>
  <w:style w:type="character" w:styleId="WW8Num55z8">
    <w:name w:val="WW8Num55z8"/>
    <w:qFormat/>
    <w:rPr/>
  </w:style>
  <w:style w:type="character" w:styleId="WW8Num56z0">
    <w:name w:val="WW8Num56z0"/>
    <w:qFormat/>
    <w:rPr/>
  </w:style>
  <w:style w:type="character" w:styleId="WW8Num57z0">
    <w:name w:val="WW8Num57z0"/>
    <w:qFormat/>
    <w:rPr/>
  </w:style>
  <w:style w:type="character" w:styleId="WW8Num57z1">
    <w:name w:val="WW8Num57z1"/>
    <w:qFormat/>
    <w:rPr/>
  </w:style>
  <w:style w:type="character" w:styleId="WW8Num57z2">
    <w:name w:val="WW8Num57z2"/>
    <w:qFormat/>
    <w:rPr/>
  </w:style>
  <w:style w:type="character" w:styleId="WW8Num57z3">
    <w:name w:val="WW8Num57z3"/>
    <w:qFormat/>
    <w:rPr/>
  </w:style>
  <w:style w:type="character" w:styleId="WW8Num57z4">
    <w:name w:val="WW8Num57z4"/>
    <w:qFormat/>
    <w:rPr/>
  </w:style>
  <w:style w:type="character" w:styleId="WW8Num57z5">
    <w:name w:val="WW8Num57z5"/>
    <w:qFormat/>
    <w:rPr/>
  </w:style>
  <w:style w:type="character" w:styleId="WW8Num57z6">
    <w:name w:val="WW8Num57z6"/>
    <w:qFormat/>
    <w:rPr/>
  </w:style>
  <w:style w:type="character" w:styleId="WW8Num57z7">
    <w:name w:val="WW8Num57z7"/>
    <w:qFormat/>
    <w:rPr/>
  </w:style>
  <w:style w:type="character" w:styleId="WW8Num57z8">
    <w:name w:val="WW8Num57z8"/>
    <w:qFormat/>
    <w:rPr/>
  </w:style>
  <w:style w:type="character" w:styleId="WW8Num58z0">
    <w:name w:val="WW8Num58z0"/>
    <w:qFormat/>
    <w:rPr>
      <w:b/>
      <w:sz w:val="40"/>
    </w:rPr>
  </w:style>
  <w:style w:type="character" w:styleId="WW8Num59z0">
    <w:name w:val="WW8Num59z0"/>
    <w:qFormat/>
    <w:rPr>
      <w:rFonts w:ascii="Times New Roman" w:hAnsi="Times New Roman" w:eastAsia="Times New Roman" w:cs="Times New Roman"/>
    </w:rPr>
  </w:style>
  <w:style w:type="character" w:styleId="WW8Num59z1">
    <w:name w:val="WW8Num59z1"/>
    <w:qFormat/>
    <w:rPr>
      <w:rFonts w:ascii="Courier New" w:hAnsi="Courier New" w:cs="Courier New"/>
    </w:rPr>
  </w:style>
  <w:style w:type="character" w:styleId="WW8Num59z2">
    <w:name w:val="WW8Num59z2"/>
    <w:qFormat/>
    <w:rPr>
      <w:rFonts w:ascii="Wingdings" w:hAnsi="Wingdings" w:cs="Wingdings"/>
    </w:rPr>
  </w:style>
  <w:style w:type="character" w:styleId="WW8Num59z3">
    <w:name w:val="WW8Num59z3"/>
    <w:qFormat/>
    <w:rPr>
      <w:rFonts w:ascii="Symbol" w:hAnsi="Symbol" w:cs="Symbol"/>
    </w:rPr>
  </w:style>
  <w:style w:type="character" w:styleId="WW8Num60z0">
    <w:name w:val="WW8Num60z0"/>
    <w:qFormat/>
    <w:rPr>
      <w:b/>
      <w:sz w:val="40"/>
    </w:rPr>
  </w:style>
  <w:style w:type="character" w:styleId="WW8Num61z0">
    <w:name w:val="WW8Num61z0"/>
    <w:qFormat/>
    <w:rPr/>
  </w:style>
  <w:style w:type="character" w:styleId="WW8Num62z0">
    <w:name w:val="WW8Num62z0"/>
    <w:qFormat/>
    <w:rPr/>
  </w:style>
  <w:style w:type="character" w:styleId="WW8Num63z0">
    <w:name w:val="WW8Num63z0"/>
    <w:qFormat/>
    <w:rPr>
      <w:rFonts w:ascii="Arial" w:hAnsi="Arial" w:eastAsia="Times New Roman" w:cs="Arial"/>
    </w:rPr>
  </w:style>
  <w:style w:type="character" w:styleId="WW8Num63z1">
    <w:name w:val="WW8Num63z1"/>
    <w:qFormat/>
    <w:rPr>
      <w:rFonts w:ascii="Courier New" w:hAnsi="Courier New" w:cs="Courier New"/>
    </w:rPr>
  </w:style>
  <w:style w:type="character" w:styleId="WW8Num63z2">
    <w:name w:val="WW8Num63z2"/>
    <w:qFormat/>
    <w:rPr>
      <w:rFonts w:ascii="Wingdings" w:hAnsi="Wingdings" w:cs="Times New Roman"/>
    </w:rPr>
  </w:style>
  <w:style w:type="character" w:styleId="WW8Num63z3">
    <w:name w:val="WW8Num63z3"/>
    <w:qFormat/>
    <w:rPr>
      <w:rFonts w:ascii="Symbol" w:hAnsi="Symbol" w:cs="Times New Roman"/>
    </w:rPr>
  </w:style>
  <w:style w:type="character" w:styleId="WW8Num64z0">
    <w:name w:val="WW8Num64z0"/>
    <w:qFormat/>
    <w:rPr>
      <w:b/>
      <w:sz w:val="40"/>
    </w:rPr>
  </w:style>
  <w:style w:type="character" w:styleId="WW8Num64z1">
    <w:name w:val="WW8Num64z1"/>
    <w:qFormat/>
    <w:rPr/>
  </w:style>
  <w:style w:type="character" w:styleId="WW8Num64z2">
    <w:name w:val="WW8Num64z2"/>
    <w:qFormat/>
    <w:rPr/>
  </w:style>
  <w:style w:type="character" w:styleId="WW8Num64z3">
    <w:name w:val="WW8Num64z3"/>
    <w:qFormat/>
    <w:rPr/>
  </w:style>
  <w:style w:type="character" w:styleId="WW8Num64z4">
    <w:name w:val="WW8Num64z4"/>
    <w:qFormat/>
    <w:rPr/>
  </w:style>
  <w:style w:type="character" w:styleId="WW8Num64z5">
    <w:name w:val="WW8Num64z5"/>
    <w:qFormat/>
    <w:rPr/>
  </w:style>
  <w:style w:type="character" w:styleId="WW8Num64z6">
    <w:name w:val="WW8Num64z6"/>
    <w:qFormat/>
    <w:rPr/>
  </w:style>
  <w:style w:type="character" w:styleId="WW8Num64z7">
    <w:name w:val="WW8Num64z7"/>
    <w:qFormat/>
    <w:rPr/>
  </w:style>
  <w:style w:type="character" w:styleId="WW8Num64z8">
    <w:name w:val="WW8Num64z8"/>
    <w:qFormat/>
    <w:rPr/>
  </w:style>
  <w:style w:type="character" w:styleId="WW8Num65z0">
    <w:name w:val="WW8Num65z0"/>
    <w:qFormat/>
    <w:rPr/>
  </w:style>
  <w:style w:type="character" w:styleId="WW8Num65z1">
    <w:name w:val="WW8Num65z1"/>
    <w:qFormat/>
    <w:rPr/>
  </w:style>
  <w:style w:type="character" w:styleId="WW8Num65z2">
    <w:name w:val="WW8Num65z2"/>
    <w:qFormat/>
    <w:rPr/>
  </w:style>
  <w:style w:type="character" w:styleId="WW8Num65z3">
    <w:name w:val="WW8Num65z3"/>
    <w:qFormat/>
    <w:rPr/>
  </w:style>
  <w:style w:type="character" w:styleId="WW8Num65z4">
    <w:name w:val="WW8Num65z4"/>
    <w:qFormat/>
    <w:rPr/>
  </w:style>
  <w:style w:type="character" w:styleId="WW8Num65z5">
    <w:name w:val="WW8Num65z5"/>
    <w:qFormat/>
    <w:rPr/>
  </w:style>
  <w:style w:type="character" w:styleId="WW8Num65z6">
    <w:name w:val="WW8Num65z6"/>
    <w:qFormat/>
    <w:rPr/>
  </w:style>
  <w:style w:type="character" w:styleId="WW8Num65z7">
    <w:name w:val="WW8Num65z7"/>
    <w:qFormat/>
    <w:rPr/>
  </w:style>
  <w:style w:type="character" w:styleId="WW8Num65z8">
    <w:name w:val="WW8Num65z8"/>
    <w:qFormat/>
    <w:rPr/>
  </w:style>
  <w:style w:type="character" w:styleId="WW8Num66z0">
    <w:name w:val="WW8Num66z0"/>
    <w:qFormat/>
    <w:rPr/>
  </w:style>
  <w:style w:type="character" w:styleId="WW8Num67z0">
    <w:name w:val="WW8Num67z0"/>
    <w:qFormat/>
    <w:rPr/>
  </w:style>
  <w:style w:type="character" w:styleId="WW8Num67z1">
    <w:name w:val="WW8Num67z1"/>
    <w:qFormat/>
    <w:rPr/>
  </w:style>
  <w:style w:type="character" w:styleId="WW8Num67z2">
    <w:name w:val="WW8Num67z2"/>
    <w:qFormat/>
    <w:rPr/>
  </w:style>
  <w:style w:type="character" w:styleId="WW8Num67z3">
    <w:name w:val="WW8Num67z3"/>
    <w:qFormat/>
    <w:rPr/>
  </w:style>
  <w:style w:type="character" w:styleId="WW8Num67z4">
    <w:name w:val="WW8Num67z4"/>
    <w:qFormat/>
    <w:rPr/>
  </w:style>
  <w:style w:type="character" w:styleId="WW8Num67z5">
    <w:name w:val="WW8Num67z5"/>
    <w:qFormat/>
    <w:rPr/>
  </w:style>
  <w:style w:type="character" w:styleId="WW8Num67z6">
    <w:name w:val="WW8Num67z6"/>
    <w:qFormat/>
    <w:rPr/>
  </w:style>
  <w:style w:type="character" w:styleId="WW8Num67z7">
    <w:name w:val="WW8Num67z7"/>
    <w:qFormat/>
    <w:rPr/>
  </w:style>
  <w:style w:type="character" w:styleId="WW8Num67z8">
    <w:name w:val="WW8Num67z8"/>
    <w:qFormat/>
    <w:rPr/>
  </w:style>
  <w:style w:type="character" w:styleId="WW8NumSt51z0">
    <w:name w:val="WW8NumSt51z0"/>
    <w:qFormat/>
    <w:rPr>
      <w:rFonts w:ascii="Symbol" w:hAnsi="Symbol" w:cs="Symbol"/>
    </w:rPr>
  </w:style>
  <w:style w:type="character" w:styleId="WW8NumSt75z0">
    <w:name w:val="WW8NumSt75z0"/>
    <w:qFormat/>
    <w:rPr>
      <w:rFonts w:ascii="Symbol" w:hAnsi="Symbol" w:cs="Symbol"/>
    </w:rPr>
  </w:style>
  <w:style w:type="character" w:styleId="Standardnpsmoodstavce">
    <w:name w:val="Standardní písmo odstavce"/>
    <w:qFormat/>
    <w:rPr/>
  </w:style>
  <w:style w:type="character" w:styleId="Hyperlink">
    <w:name w:val="Hyperlink"/>
    <w:rPr>
      <w:color w:val="0000FF"/>
      <w:u w:val="single"/>
    </w:rPr>
  </w:style>
  <w:style w:type="character" w:styleId="TextbublinyChar">
    <w:name w:val="Text bubliny Char"/>
    <w:qFormat/>
    <w:rPr>
      <w:rFonts w:ascii="Tahoma" w:hAnsi="Tahoma" w:cs="Tahoma"/>
      <w:sz w:val="16"/>
      <w:szCs w:val="16"/>
    </w:rPr>
  </w:style>
  <w:style w:type="character" w:styleId="ZpatChar">
    <w:name w:val="Zápatí Char"/>
    <w:qFormat/>
    <w:rPr>
      <w:rFonts w:ascii="Arial" w:hAnsi="Arial" w:cs="Arial"/>
      <w:sz w:val="22"/>
      <w:szCs w:val="22"/>
    </w:rPr>
  </w:style>
  <w:style w:type="character" w:styleId="PageNumber">
    <w:name w:val="page number"/>
    <w:basedOn w:val="Standardnpsmoodstavce"/>
    <w:rPr/>
  </w:style>
  <w:style w:type="character" w:styleId="FollowedHyperlink">
    <w:name w:val="FollowedHyperlink"/>
    <w:basedOn w:val="Standardnpsmoodstavce"/>
    <w:rPr>
      <w:color w:val="800080"/>
      <w:u w:val="single"/>
    </w:rPr>
  </w:style>
  <w:style w:type="character" w:styleId="Znakapoznmky">
    <w:name w:val="Značka poznámky"/>
    <w:basedOn w:val="Standardnpsmoodstavce"/>
    <w:qFormat/>
    <w:rPr>
      <w:sz w:val="16"/>
      <w:szCs w:val="16"/>
    </w:rPr>
  </w:style>
  <w:style w:type="character" w:styleId="Odkaznarejstk">
    <w:name w:val="Odkaz na rejstřík"/>
    <w:qFormat/>
    <w:rPr/>
  </w:style>
  <w:style w:type="character" w:styleId="WW8Num42z1">
    <w:name w:val="WW8Num42z1"/>
    <w:qFormat/>
    <w:rPr/>
  </w:style>
  <w:style w:type="character" w:styleId="WW8Num42z2">
    <w:name w:val="WW8Num42z2"/>
    <w:qFormat/>
    <w:rPr/>
  </w:style>
  <w:style w:type="character" w:styleId="WW8Num42z3">
    <w:name w:val="WW8Num42z3"/>
    <w:qFormat/>
    <w:rPr/>
  </w:style>
  <w:style w:type="character" w:styleId="WW8Num42z4">
    <w:name w:val="WW8Num42z4"/>
    <w:qFormat/>
    <w:rPr/>
  </w:style>
  <w:style w:type="character" w:styleId="WW8Num42z5">
    <w:name w:val="WW8Num42z5"/>
    <w:qFormat/>
    <w:rPr/>
  </w:style>
  <w:style w:type="character" w:styleId="WW8Num42z6">
    <w:name w:val="WW8Num42z6"/>
    <w:qFormat/>
    <w:rPr/>
  </w:style>
  <w:style w:type="character" w:styleId="WW8Num42z7">
    <w:name w:val="WW8Num42z7"/>
    <w:qFormat/>
    <w:rPr/>
  </w:style>
  <w:style w:type="character" w:styleId="WW8Num42z8">
    <w:name w:val="WW8Num42z8"/>
    <w:qFormat/>
    <w:rPr/>
  </w:style>
  <w:style w:type="character" w:styleId="WW8Num5z1">
    <w:name w:val="WW8Num5z1"/>
    <w:qFormat/>
    <w:rPr>
      <w:rFonts w:ascii="Courier New" w:hAnsi="Courier New" w:cs="Courier New"/>
    </w:rPr>
  </w:style>
  <w:style w:type="character" w:styleId="WW8Num5z2">
    <w:name w:val="WW8Num5z2"/>
    <w:qFormat/>
    <w:rPr>
      <w:rFonts w:ascii="Wingdings" w:hAnsi="Wingdings" w:cs="Wingdings"/>
    </w:rPr>
  </w:style>
  <w:style w:type="character" w:styleId="Odrky">
    <w:name w:val="Odrážky"/>
    <w:qFormat/>
    <w:rPr>
      <w:rFonts w:ascii="OpenSymbol" w:hAnsi="OpenSymbol" w:eastAsia="OpenSymbol" w:cs="OpenSymbol"/>
    </w:rPr>
  </w:style>
  <w:style w:type="character" w:styleId="Symbolyproslovn">
    <w:name w:val="Symboly pro číslování"/>
    <w:qFormat/>
    <w:rPr/>
  </w:style>
  <w:style w:type="paragraph" w:styleId="Nadpis">
    <w:name w:val="Nadpis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Arial Unicode MS"/>
      <w:sz w:val="28"/>
      <w:szCs w:val="28"/>
    </w:rPr>
  </w:style>
  <w:style w:type="paragraph" w:styleId="BodyText">
    <w:name w:val="Body Text"/>
    <w:basedOn w:val="Normal"/>
    <w:pPr>
      <w:overflowPunct w:val="true"/>
      <w:spacing w:before="0" w:after="120"/>
      <w:textAlignment w:val="baseline"/>
    </w:pPr>
    <w:rPr>
      <w:rFonts w:ascii="Times New Roman" w:hAnsi="Times New Roman" w:cs="Times New Roman"/>
      <w:sz w:val="20"/>
      <w:szCs w:val="20"/>
    </w:rPr>
  </w:style>
  <w:style w:type="paragraph" w:styleId="List">
    <w:name w:val="List"/>
    <w:basedOn w:val="BodyText"/>
    <w:pPr>
      <w:tabs>
        <w:tab w:val="clear" w:pos="720"/>
        <w:tab w:val="left" w:pos="284" w:leader="none"/>
        <w:tab w:val="left" w:pos="567" w:leader="none"/>
        <w:tab w:val="left" w:pos="1134" w:leader="none"/>
        <w:tab w:val="left" w:pos="1701" w:leader="none"/>
        <w:tab w:val="left" w:pos="2268" w:leader="none"/>
        <w:tab w:val="left" w:pos="2835" w:leader="none"/>
        <w:tab w:val="left" w:pos="3402" w:leader="none"/>
        <w:tab w:val="left" w:pos="3969" w:leader="none"/>
        <w:tab w:val="left" w:pos="4536" w:leader="none"/>
        <w:tab w:val="left" w:pos="5103" w:leader="none"/>
        <w:tab w:val="left" w:pos="5670" w:leader="none"/>
        <w:tab w:val="left" w:pos="6237" w:leader="none"/>
        <w:tab w:val="left" w:pos="6804" w:leader="none"/>
        <w:tab w:val="left" w:pos="7371" w:leader="none"/>
      </w:tabs>
      <w:spacing w:before="0" w:after="0"/>
      <w:ind w:hanging="360" w:start="1440" w:end="0"/>
      <w:jc w:val="both"/>
    </w:pPr>
    <w:rPr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Arial Unicode MS"/>
    </w:rPr>
  </w:style>
  <w:style w:type="paragraph" w:styleId="Styl1">
    <w:name w:val="Styl1"/>
    <w:basedOn w:val="Normal"/>
    <w:qFormat/>
    <w:pPr>
      <w:jc w:val="both"/>
    </w:pPr>
    <w:rPr/>
  </w:style>
  <w:style w:type="paragraph" w:styleId="StylNadpis1Bezpodtren">
    <w:name w:val="Styl Nadpis 1 + Bez podtržení"/>
    <w:basedOn w:val="Heading1"/>
    <w:qFormat/>
    <w:pPr>
      <w:numPr>
        <w:ilvl w:val="0"/>
        <w:numId w:val="0"/>
      </w:numPr>
      <w:shd w:fill="CCCCCC" w:val="clear"/>
      <w:ind w:hanging="357" w:start="357" w:end="0"/>
      <w:outlineLvl w:val="9"/>
    </w:pPr>
    <w:rPr/>
  </w:style>
  <w:style w:type="paragraph" w:styleId="Zhlavazpat">
    <w:name w:val="Záhlaví a zápatí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/>
    <w:rPr/>
  </w:style>
  <w:style w:type="paragraph" w:styleId="Footer">
    <w:name w:val="footer"/>
    <w:basedOn w:val="Normal"/>
    <w:pPr/>
    <w:rPr/>
  </w:style>
  <w:style w:type="paragraph" w:styleId="TOC1">
    <w:name w:val="toc 1"/>
    <w:basedOn w:val="Normal"/>
    <w:next w:val="Normal"/>
    <w:pPr>
      <w:tabs>
        <w:tab w:val="clear" w:pos="720"/>
        <w:tab w:val="left" w:pos="540" w:leader="none"/>
        <w:tab w:val="left" w:pos="567" w:leader="none"/>
        <w:tab w:val="right" w:pos="9060" w:leader="dot"/>
      </w:tabs>
      <w:ind w:hanging="567" w:start="567" w:end="1080"/>
    </w:pPr>
    <w:rPr>
      <w:sz w:val="20"/>
      <w:lang w:val="cs-CZ" w:eastAsia="cs-CZ"/>
    </w:rPr>
  </w:style>
  <w:style w:type="paragraph" w:styleId="TOC2">
    <w:name w:val="toc 2"/>
    <w:basedOn w:val="Normal"/>
    <w:next w:val="Normal"/>
    <w:pPr>
      <w:ind w:hanging="500" w:start="720" w:end="0"/>
    </w:pPr>
    <w:rPr>
      <w:sz w:val="18"/>
      <w:lang w:val="cs-CZ" w:eastAsia="cs-CZ"/>
    </w:rPr>
  </w:style>
  <w:style w:type="paragraph" w:styleId="TOC3">
    <w:name w:val="toc 3"/>
    <w:basedOn w:val="Normal"/>
    <w:next w:val="Normal"/>
    <w:pPr>
      <w:spacing w:lineRule="atLeast" w:line="0"/>
      <w:ind w:hanging="409" w:start="851" w:end="0"/>
    </w:pPr>
    <w:rPr>
      <w:sz w:val="18"/>
    </w:rPr>
  </w:style>
  <w:style w:type="paragraph" w:styleId="Textbubliny">
    <w:name w:val="Text bubliny"/>
    <w:basedOn w:val="Normal"/>
    <w:qFormat/>
    <w:pPr/>
    <w:rPr>
      <w:rFonts w:ascii="Tahoma" w:hAnsi="Tahoma" w:cs="Tahoma"/>
      <w:sz w:val="16"/>
      <w:szCs w:val="16"/>
    </w:rPr>
  </w:style>
  <w:style w:type="paragraph" w:styleId="Odstavecseseznamem">
    <w:name w:val="Odstavec se seznamem"/>
    <w:basedOn w:val="Normal"/>
    <w:qFormat/>
    <w:pPr>
      <w:spacing w:before="0" w:after="0"/>
      <w:ind w:hanging="0" w:start="720" w:end="0"/>
      <w:contextualSpacing/>
    </w:pPr>
    <w:rPr/>
  </w:style>
  <w:style w:type="paragraph" w:styleId="Zkladntextodsazen2">
    <w:name w:val="Základní text odsazený 2"/>
    <w:basedOn w:val="Normal"/>
    <w:qFormat/>
    <w:pPr>
      <w:overflowPunct w:val="true"/>
      <w:spacing w:lineRule="atLeast" w:line="240" w:before="120" w:after="0"/>
      <w:ind w:firstLine="567" w:start="0" w:end="0"/>
      <w:jc w:val="both"/>
      <w:textAlignment w:val="baseline"/>
    </w:pPr>
    <w:rPr>
      <w:rFonts w:ascii="Times New Roman" w:hAnsi="Times New Roman" w:cs="Times New Roman"/>
      <w:sz w:val="24"/>
      <w:szCs w:val="20"/>
    </w:rPr>
  </w:style>
  <w:style w:type="paragraph" w:styleId="Zkladntext3">
    <w:name w:val="Základní text 3"/>
    <w:basedOn w:val="Normal"/>
    <w:qFormat/>
    <w:pPr>
      <w:overflowPunct w:val="true"/>
      <w:spacing w:lineRule="atLeast" w:line="240" w:before="120" w:after="0"/>
      <w:textAlignment w:val="baseline"/>
    </w:pPr>
    <w:rPr>
      <w:rFonts w:ascii="Times New Roman" w:hAnsi="Times New Roman" w:cs="Times New Roman"/>
      <w:sz w:val="24"/>
      <w:szCs w:val="20"/>
    </w:rPr>
  </w:style>
  <w:style w:type="paragraph" w:styleId="TextOdst">
    <w:name w:val="TextOdst"/>
    <w:basedOn w:val="Normal"/>
    <w:qFormat/>
    <w:pPr>
      <w:spacing w:before="0" w:after="120"/>
      <w:ind w:firstLine="397" w:start="0" w:end="0"/>
    </w:pPr>
    <w:rPr>
      <w:rFonts w:ascii="Times New Roman" w:hAnsi="Times New Roman" w:cs="Times New Roman"/>
      <w:sz w:val="20"/>
      <w:szCs w:val="20"/>
      <w:lang w:val="cs-CZ" w:eastAsia="cs-CZ"/>
    </w:rPr>
  </w:style>
  <w:style w:type="paragraph" w:styleId="Podnadpis">
    <w:name w:val="Podnadpis"/>
    <w:next w:val="Normal"/>
    <w:qFormat/>
    <w:pPr>
      <w:keepNext w:val="true"/>
      <w:keepLines/>
      <w:widowControl/>
      <w:suppressAutoHyphens w:val="true"/>
      <w:kinsoku w:val="true"/>
      <w:overflowPunct w:val="false"/>
      <w:autoSpaceDE w:val="true"/>
      <w:bidi w:val="0"/>
      <w:spacing w:before="226" w:after="170"/>
      <w:jc w:val="start"/>
    </w:pPr>
    <w:rPr>
      <w:rFonts w:ascii="Arial" w:hAnsi="Arial" w:eastAsia="Times New Roman" w:cs="Arial"/>
      <w:b/>
      <w:color w:val="000000"/>
      <w:kern w:val="0"/>
      <w:sz w:val="24"/>
      <w:szCs w:val="20"/>
      <w:lang w:val="cs-CZ" w:eastAsia="zh-CN" w:bidi="ar-SA"/>
    </w:rPr>
  </w:style>
  <w:style w:type="paragraph" w:styleId="Prosttext">
    <w:name w:val="Prostý text"/>
    <w:basedOn w:val="Normal"/>
    <w:qFormat/>
    <w:pPr/>
    <w:rPr>
      <w:rFonts w:ascii="Times New Roman" w:hAnsi="Times New Roman" w:cs="Times New Roman"/>
      <w:color w:val="FF0000"/>
      <w:sz w:val="24"/>
      <w:szCs w:val="20"/>
    </w:rPr>
  </w:style>
  <w:style w:type="paragraph" w:styleId="Nadpiszkladn">
    <w:name w:val="Nadpis základní"/>
    <w:basedOn w:val="BodyText"/>
    <w:next w:val="BodyText"/>
    <w:qFormat/>
    <w:pPr>
      <w:keepNext w:val="true"/>
      <w:keepLines/>
      <w:tabs>
        <w:tab w:val="clear" w:pos="720"/>
        <w:tab w:val="left" w:pos="284" w:leader="none"/>
        <w:tab w:val="left" w:pos="567" w:leader="none"/>
        <w:tab w:val="left" w:pos="1134" w:leader="none"/>
        <w:tab w:val="left" w:pos="1701" w:leader="none"/>
        <w:tab w:val="left" w:pos="2268" w:leader="none"/>
        <w:tab w:val="left" w:pos="2835" w:leader="none"/>
        <w:tab w:val="left" w:pos="3402" w:leader="none"/>
        <w:tab w:val="left" w:pos="3969" w:leader="none"/>
        <w:tab w:val="left" w:pos="4536" w:leader="none"/>
        <w:tab w:val="left" w:pos="5103" w:leader="none"/>
        <w:tab w:val="left" w:pos="5670" w:leader="none"/>
        <w:tab w:val="left" w:pos="6237" w:leader="none"/>
        <w:tab w:val="left" w:pos="6804" w:leader="none"/>
        <w:tab w:val="left" w:pos="7371" w:leader="none"/>
      </w:tabs>
      <w:spacing w:before="0" w:after="0"/>
      <w:jc w:val="both"/>
    </w:pPr>
    <w:rPr>
      <w:rFonts w:ascii="Arial" w:hAnsi="Arial" w:cs="Arial"/>
      <w:spacing w:val="-10"/>
      <w:kern w:val="2"/>
      <w:sz w:val="24"/>
    </w:rPr>
  </w:style>
  <w:style w:type="paragraph" w:styleId="BodyTextIndent">
    <w:name w:val="Body Text Indent"/>
    <w:basedOn w:val="Normal"/>
    <w:pPr>
      <w:ind w:firstLine="540" w:start="0" w:end="0"/>
      <w:jc w:val="both"/>
    </w:pPr>
    <w:rPr>
      <w:rFonts w:ascii="Times New Roman" w:hAnsi="Times New Roman" w:cs="Times New Roman"/>
      <w:sz w:val="24"/>
      <w:szCs w:val="24"/>
    </w:rPr>
  </w:style>
  <w:style w:type="paragraph" w:styleId="FormtovanvHTML">
    <w:name w:val="Formátovaný v HTML"/>
    <w:basedOn w:val="Normal"/>
    <w:qFormat/>
    <w:pPr>
      <w:tabs>
        <w:tab w:val="clear" w:pos="720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Arial Unicode MS;Malgun Gothic Semilight" w:hAnsi="Arial Unicode MS;Malgun Gothic Semilight" w:eastAsia="Arial Unicode MS;Malgun Gothic Semilight" w:cs="Arial Unicode MS;Malgun Gothic Semilight"/>
      <w:sz w:val="20"/>
      <w:szCs w:val="20"/>
    </w:rPr>
  </w:style>
  <w:style w:type="paragraph" w:styleId="Seznamsodrkami2">
    <w:name w:val="Seznam s odrážkami 2"/>
    <w:basedOn w:val="Normal"/>
    <w:qFormat/>
    <w:pPr>
      <w:numPr>
        <w:ilvl w:val="0"/>
        <w:numId w:val="5"/>
      </w:numPr>
      <w:overflowPunct w:val="true"/>
      <w:ind w:hanging="283" w:start="566" w:end="-360"/>
      <w:textAlignment w:val="baseline"/>
    </w:pPr>
    <w:rPr>
      <w:rFonts w:ascii="Times New Roman" w:hAnsi="Times New Roman" w:cs="Times New Roman"/>
      <w:sz w:val="20"/>
      <w:szCs w:val="20"/>
    </w:rPr>
  </w:style>
  <w:style w:type="paragraph" w:styleId="AZKtext">
    <w:name w:val="AZK text"/>
    <w:basedOn w:val="Normal"/>
    <w:qFormat/>
    <w:pPr>
      <w:spacing w:before="40" w:after="40"/>
      <w:ind w:firstLine="340" w:start="340" w:end="0"/>
      <w:jc w:val="both"/>
    </w:pPr>
    <w:rPr>
      <w:sz w:val="20"/>
      <w:szCs w:val="20"/>
    </w:rPr>
  </w:style>
  <w:style w:type="paragraph" w:styleId="Zkladntextodsazen3">
    <w:name w:val="Základní text odsazený 3"/>
    <w:basedOn w:val="Normal"/>
    <w:qFormat/>
    <w:pPr>
      <w:spacing w:lineRule="atLeast" w:line="240"/>
      <w:ind w:firstLine="567" w:start="0" w:end="0"/>
    </w:pPr>
    <w:rPr>
      <w:rFonts w:ascii="Times New Roman" w:hAnsi="Times New Roman" w:cs="Times New Roman"/>
    </w:rPr>
  </w:style>
  <w:style w:type="paragraph" w:styleId="Neodstavec">
    <w:name w:val="Neodstavec"/>
    <w:basedOn w:val="Normal"/>
    <w:qFormat/>
    <w:pPr>
      <w:jc w:val="both"/>
    </w:pPr>
    <w:rPr>
      <w:rFonts w:ascii="Times New Roman" w:hAnsi="Times New Roman" w:cs="Times New Roman"/>
      <w:sz w:val="24"/>
      <w:szCs w:val="20"/>
    </w:rPr>
  </w:style>
  <w:style w:type="paragraph" w:styleId="BodyText2">
    <w:name w:val="Body Text 2"/>
    <w:basedOn w:val="Normal"/>
    <w:qFormat/>
    <w:pPr>
      <w:overflowPunct w:val="true"/>
      <w:spacing w:lineRule="atLeast" w:line="240" w:before="120" w:after="0"/>
      <w:jc w:val="both"/>
      <w:textAlignment w:val="baseline"/>
    </w:pPr>
    <w:rPr>
      <w:rFonts w:ascii="Times New Roman" w:hAnsi="Times New Roman" w:cs="Times New Roman"/>
      <w:sz w:val="24"/>
      <w:szCs w:val="20"/>
    </w:rPr>
  </w:style>
  <w:style w:type="paragraph" w:styleId="Zkladntext2">
    <w:name w:val="Základní text 2"/>
    <w:basedOn w:val="Normal"/>
    <w:qFormat/>
    <w:pPr>
      <w:overflowPunct w:val="true"/>
      <w:spacing w:lineRule="atLeast" w:line="240" w:before="120" w:after="0"/>
      <w:jc w:val="both"/>
      <w:textAlignment w:val="baseline"/>
    </w:pPr>
    <w:rPr>
      <w:rFonts w:ascii="Times New Roman" w:hAnsi="Times New Roman" w:cs="Times New Roman"/>
      <w:sz w:val="24"/>
      <w:szCs w:val="20"/>
    </w:rPr>
  </w:style>
  <w:style w:type="paragraph" w:styleId="BodyText3">
    <w:name w:val="Body Text 3"/>
    <w:basedOn w:val="Normal"/>
    <w:qFormat/>
    <w:pPr>
      <w:overflowPunct w:val="true"/>
      <w:jc w:val="both"/>
      <w:textAlignment w:val="baseline"/>
    </w:pPr>
    <w:rPr>
      <w:rFonts w:ascii="Times New Roman" w:hAnsi="Times New Roman" w:cs="Times New Roman"/>
      <w:sz w:val="24"/>
      <w:szCs w:val="20"/>
    </w:rPr>
  </w:style>
  <w:style w:type="paragraph" w:styleId="xl24">
    <w:name w:val="xl24"/>
    <w:basedOn w:val="Normal"/>
    <w:qFormat/>
    <w:pPr>
      <w:spacing w:before="280" w:after="280"/>
    </w:pPr>
    <w:rPr>
      <w:rFonts w:cs="Arial"/>
      <w:b/>
      <w:bCs/>
      <w:sz w:val="28"/>
      <w:szCs w:val="28"/>
      <w:u w:val="single"/>
    </w:rPr>
  </w:style>
  <w:style w:type="paragraph" w:styleId="NoSpacing">
    <w:name w:val="No Spacing"/>
    <w:qFormat/>
    <w:pPr>
      <w:widowControl/>
      <w:suppressAutoHyphens w:val="true"/>
      <w:kinsoku w:val="true"/>
      <w:overflowPunct w:val="false"/>
      <w:autoSpaceDE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cs-CZ" w:eastAsia="zh-CN" w:bidi="ar-SA"/>
    </w:rPr>
  </w:style>
  <w:style w:type="paragraph" w:styleId="Textpoznmky">
    <w:name w:val="Text poznámky"/>
    <w:basedOn w:val="Normal"/>
    <w:qFormat/>
    <w:pPr/>
    <w:rPr>
      <w:sz w:val="20"/>
      <w:szCs w:val="20"/>
    </w:rPr>
  </w:style>
  <w:style w:type="paragraph" w:styleId="Obsahtabulky">
    <w:name w:val="Obsah tabulky"/>
    <w:basedOn w:val="Normal"/>
    <w:qFormat/>
    <w:pPr>
      <w:suppressLineNumbers/>
    </w:pPr>
    <w:rPr/>
  </w:style>
  <w:style w:type="paragraph" w:styleId="Nadpistabulky">
    <w:name w:val="Nadpis tabulky"/>
    <w:basedOn w:val="Obsahtabulky"/>
    <w:qFormat/>
    <w:pPr>
      <w:suppressLineNumbers/>
      <w:jc w:val="center"/>
    </w:pPr>
    <w:rPr>
      <w:b/>
      <w:bCs/>
    </w:rPr>
  </w:style>
  <w:style w:type="paragraph" w:styleId="western">
    <w:name w:val="western"/>
    <w:basedOn w:val="Normal"/>
    <w:qFormat/>
    <w:pPr>
      <w:spacing w:before="280" w:after="119"/>
    </w:pPr>
    <w:rPr>
      <w:rFonts w:ascii="Times New Roman" w:hAnsi="Times New Roman" w:eastAsia="Arial Unicode MS;Malgun Gothic Semilight" w:cs="Times New Roman"/>
      <w:color w:val="000000"/>
      <w:sz w:val="20"/>
      <w:szCs w:val="20"/>
    </w:rPr>
  </w:style>
  <w:style w:type="paragraph" w:styleId="nadpis-zkladn-western">
    <w:name w:val="nadpis-základní-western"/>
    <w:basedOn w:val="Normal"/>
    <w:qFormat/>
    <w:pPr>
      <w:keepNext w:val="true"/>
      <w:spacing w:before="280" w:after="0"/>
      <w:jc w:val="both"/>
    </w:pPr>
    <w:rPr>
      <w:rFonts w:eastAsia="Arial Unicode MS;Malgun Gothic Semilight" w:cs="Arial"/>
      <w:color w:val="000000"/>
      <w:spacing w:val="-10"/>
      <w:sz w:val="24"/>
      <w:szCs w:val="24"/>
    </w:rPr>
  </w:style>
  <w:style w:type="paragraph" w:styleId="AZKtextCharCharChar">
    <w:name w:val="AZK text Char Char Char"/>
    <w:basedOn w:val="Normal"/>
    <w:qFormat/>
    <w:pPr>
      <w:overflowPunct w:val="false"/>
      <w:spacing w:before="40" w:after="40"/>
      <w:ind w:firstLine="340" w:start="340" w:end="0"/>
      <w:contextualSpacing/>
      <w:jc w:val="both"/>
      <w:textAlignment w:val="auto"/>
    </w:pPr>
    <w:rPr>
      <w:rFonts w:ascii="Arial" w:hAnsi="Arial" w:cs="Arial"/>
      <w:sz w:val="20"/>
      <w:szCs w:val="24"/>
    </w:rPr>
  </w:style>
  <w:style w:type="paragraph" w:styleId="Zkladntext21">
    <w:name w:val="Základní text 21"/>
    <w:basedOn w:val="Normal"/>
    <w:qFormat/>
    <w:pPr>
      <w:overflowPunct w:val="true"/>
      <w:spacing w:lineRule="atLeast" w:line="240" w:before="120" w:after="0"/>
      <w:jc w:val="both"/>
      <w:textAlignment w:val="baseline"/>
    </w:pPr>
    <w:rPr>
      <w:rFonts w:ascii="Times New Roman" w:hAnsi="Times New Roman" w:cs="Times New Roman"/>
      <w:sz w:val="24"/>
      <w:szCs w:val="20"/>
    </w:rPr>
  </w:style>
  <w:style w:type="paragraph" w:styleId="Textnormy">
    <w:name w:val="Text normy"/>
    <w:qFormat/>
    <w:pPr>
      <w:widowControl/>
      <w:kinsoku w:val="true"/>
      <w:overflowPunct w:val="true"/>
      <w:autoSpaceDE w:val="true"/>
      <w:bidi w:val="0"/>
      <w:spacing w:lineRule="auto" w:line="240" w:before="0" w:after="120"/>
      <w:jc w:val="both"/>
    </w:pPr>
    <w:rPr>
      <w:rFonts w:ascii="Arial" w:hAnsi="Arial" w:eastAsia="Times New Roman" w:cs="Times New Roman"/>
      <w:color w:val="auto"/>
      <w:kern w:val="0"/>
      <w:sz w:val="20"/>
      <w:szCs w:val="20"/>
      <w:lang w:eastAsia="cs-CZ" w:val="cs-CZ" w:bidi="hi-IN"/>
    </w:rPr>
  </w:style>
  <w:style w:type="paragraph" w:styleId="Poznmka">
    <w:name w:val="Poznámka"/>
    <w:basedOn w:val="Textnormy"/>
    <w:next w:val="Textnormy"/>
    <w:qFormat/>
    <w:pPr>
      <w:spacing w:before="80" w:after="200"/>
    </w:pPr>
    <w:rPr>
      <w:sz w:val="18"/>
    </w:rPr>
  </w:style>
  <w:style w:type="paragraph" w:styleId="Seznamvnorm">
    <w:name w:val="Seznam v normě"/>
    <w:basedOn w:val="Textnormy"/>
    <w:qFormat/>
    <w:pPr>
      <w:numPr>
        <w:ilvl w:val="0"/>
        <w:numId w:val="4"/>
      </w:numPr>
      <w:tabs>
        <w:tab w:val="clear" w:pos="720"/>
      </w:tabs>
      <w:ind w:hanging="284" w:start="284"/>
    </w:pPr>
    <w:rPr/>
  </w:style>
  <w:style w:type="numbering" w:styleId="slovnabc">
    <w:name w:val="Číslování abc"/>
    <w:qFormat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1469</TotalTime>
  <Application>LibreOffice/25.8.3.2$Windows_X86_64 LibreOffice_project/8ca8d55c161d602844f5428fa4b58097424e324e</Application>
  <AppVersion>15.0000</AppVersion>
  <Pages>11</Pages>
  <Words>4495</Words>
  <Characters>27792</Characters>
  <CharactersWithSpaces>32152</CharactersWithSpaces>
  <Paragraphs>281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2017-11-06T09:49:00Z</dcterms:created>
  <dc:creator>zdenek.dobias@sater-projekt.cz</dc:creator>
  <dc:description/>
  <dc:language>cs-CZ</dc:language>
  <cp:lastModifiedBy/>
  <cp:lastPrinted>2025-12-01T09:03:40Z</cp:lastPrinted>
  <dcterms:modified xsi:type="dcterms:W3CDTF">2025-12-01T08:40:10Z</dcterms:modified>
  <cp:revision>161</cp:revision>
  <dc:subject/>
  <dc:title>DSP D143 TPS</dc:title>
</cp:coreProperties>
</file>